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234330" w:rsidRPr="00234330" w:rsidRDefault="00234330" w:rsidP="00234330"/>
    <w:p w:rsidR="003B7229" w:rsidRPr="003B7229" w:rsidRDefault="003B7229" w:rsidP="003B7229"/>
    <w:p w:rsidR="00D814B6" w:rsidRPr="00D73D1E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ESTADO DE SANTA CATARINA</w:t>
      </w:r>
    </w:p>
    <w:p w:rsidR="00D814B6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PREFEITURA MUNICIPAL DE FORMOSA DO SUL</w:t>
      </w:r>
    </w:p>
    <w:p w:rsidR="00D73D1E" w:rsidRPr="00D73D1E" w:rsidRDefault="00D73D1E" w:rsidP="00D73D1E"/>
    <w:p w:rsidR="00BF3D42" w:rsidRPr="00D73D1E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D73D1E">
        <w:rPr>
          <w:rFonts w:ascii="Verdana" w:hAnsi="Verdana" w:cs="Tahoma"/>
          <w:b/>
          <w:sz w:val="20"/>
          <w:szCs w:val="20"/>
        </w:rPr>
        <w:t>DECRETO MUNICIPAL N.º 3</w:t>
      </w:r>
      <w:r w:rsidR="006D5E13">
        <w:rPr>
          <w:rFonts w:ascii="Verdana" w:hAnsi="Verdana" w:cs="Tahoma"/>
          <w:b/>
          <w:sz w:val="20"/>
          <w:szCs w:val="20"/>
        </w:rPr>
        <w:t>61</w:t>
      </w:r>
      <w:r w:rsidR="001A308C">
        <w:rPr>
          <w:rFonts w:ascii="Verdana" w:hAnsi="Verdana" w:cs="Tahoma"/>
          <w:b/>
          <w:sz w:val="20"/>
          <w:szCs w:val="20"/>
        </w:rPr>
        <w:t>3</w:t>
      </w:r>
      <w:r w:rsidRPr="00D73D1E">
        <w:rPr>
          <w:rFonts w:ascii="Verdana" w:hAnsi="Verdana" w:cs="Tahoma"/>
          <w:b/>
          <w:sz w:val="20"/>
          <w:szCs w:val="20"/>
        </w:rPr>
        <w:t xml:space="preserve">, DE </w:t>
      </w:r>
      <w:r w:rsidR="0004212B">
        <w:rPr>
          <w:rFonts w:ascii="Verdana" w:hAnsi="Verdana" w:cs="Tahoma"/>
          <w:b/>
          <w:sz w:val="20"/>
          <w:szCs w:val="20"/>
        </w:rPr>
        <w:t>1</w:t>
      </w:r>
      <w:r w:rsidR="001A308C">
        <w:rPr>
          <w:rFonts w:ascii="Verdana" w:hAnsi="Verdana" w:cs="Tahoma"/>
          <w:b/>
          <w:sz w:val="20"/>
          <w:szCs w:val="20"/>
        </w:rPr>
        <w:t>3</w:t>
      </w:r>
      <w:r w:rsidRPr="00D73D1E">
        <w:rPr>
          <w:rFonts w:ascii="Verdana" w:hAnsi="Verdana" w:cs="Tahoma"/>
          <w:b/>
          <w:sz w:val="20"/>
          <w:szCs w:val="20"/>
        </w:rPr>
        <w:t xml:space="preserve"> DE </w:t>
      </w:r>
      <w:r w:rsidR="006D5E13">
        <w:rPr>
          <w:rFonts w:ascii="Verdana" w:hAnsi="Verdana" w:cs="Tahoma"/>
          <w:b/>
          <w:sz w:val="20"/>
          <w:szCs w:val="20"/>
        </w:rPr>
        <w:t>OUTUBRO</w:t>
      </w:r>
      <w:r w:rsidR="00604C39" w:rsidRPr="00D73D1E">
        <w:rPr>
          <w:rFonts w:ascii="Verdana" w:hAnsi="Verdana" w:cs="Tahoma"/>
          <w:b/>
          <w:sz w:val="20"/>
          <w:szCs w:val="20"/>
        </w:rPr>
        <w:t xml:space="preserve"> </w:t>
      </w:r>
      <w:r w:rsidRPr="00D73D1E">
        <w:rPr>
          <w:rFonts w:ascii="Verdana" w:hAnsi="Verdana" w:cs="Tahoma"/>
          <w:b/>
          <w:sz w:val="20"/>
          <w:szCs w:val="20"/>
        </w:rPr>
        <w:t>DE 2014.</w:t>
      </w:r>
    </w:p>
    <w:p w:rsidR="00D73D1E" w:rsidRPr="00D73D1E" w:rsidRDefault="00D73D1E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D73D1E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Default="00661062" w:rsidP="007B587C">
      <w:pPr>
        <w:pStyle w:val="Ttulo2"/>
        <w:ind w:left="2832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“DISPÕE SOBRE ABERTURA DE CRÉDITO SUPLEMENTAR E DÁ OUTRAS PROVIDÊNCIAS”.</w:t>
      </w:r>
    </w:p>
    <w:p w:rsidR="00D73D1E" w:rsidRPr="00D73D1E" w:rsidRDefault="00D73D1E" w:rsidP="00D73D1E"/>
    <w:p w:rsidR="00BF3D42" w:rsidRPr="00D73D1E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DE249E" w:rsidRDefault="00CD3F34" w:rsidP="00DE249E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b/>
          <w:sz w:val="20"/>
        </w:rPr>
        <w:t xml:space="preserve">JORGE ANTONIO COMUNELLO, </w:t>
      </w:r>
      <w:r w:rsidRPr="00D73D1E">
        <w:rPr>
          <w:rFonts w:ascii="Verdana" w:hAnsi="Verdana" w:cs="Tahoma"/>
          <w:sz w:val="20"/>
        </w:rPr>
        <w:t xml:space="preserve">Prefeito Municipal de Formosa do Sul, Estado de Santa Catarina, no uso de suas atribuições </w:t>
      </w:r>
      <w:r w:rsidR="00DE249E" w:rsidRPr="00D73D1E">
        <w:rPr>
          <w:rFonts w:ascii="Verdana" w:hAnsi="Verdana" w:cs="Tahoma"/>
          <w:sz w:val="20"/>
        </w:rPr>
        <w:t>legais que lhe confere o art. 71, Inciso XVIII da Lei Orgânica Municipal.</w:t>
      </w:r>
    </w:p>
    <w:p w:rsidR="00CD3F34" w:rsidRPr="002D7785" w:rsidRDefault="00CD3F34" w:rsidP="002D7785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D73D1E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D73D1E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D73D1E">
        <w:rPr>
          <w:rFonts w:ascii="Verdana" w:hAnsi="Verdana" w:cs="Tahoma"/>
          <w:b/>
          <w:sz w:val="20"/>
          <w:szCs w:val="20"/>
        </w:rPr>
        <w:t xml:space="preserve">Art. 1º </w:t>
      </w:r>
      <w:r w:rsidRPr="00D73D1E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D73D1E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D73D1E">
        <w:rPr>
          <w:rFonts w:ascii="Verdana" w:hAnsi="Verdana" w:cs="Tahoma"/>
          <w:sz w:val="20"/>
          <w:szCs w:val="20"/>
        </w:rPr>
        <w:t xml:space="preserve"> Orçamentárias do Orçamento vigente da Prefeitura</w:t>
      </w:r>
      <w:r w:rsidRPr="00E4485A">
        <w:rPr>
          <w:rFonts w:ascii="Verdana" w:hAnsi="Verdana" w:cs="Tahoma"/>
          <w:sz w:val="20"/>
          <w:szCs w:val="20"/>
        </w:rPr>
        <w:t xml:space="preserve"> Municipal de Formosa do Sul, num montante de R$ </w:t>
      </w:r>
      <w:r w:rsidR="001A308C">
        <w:rPr>
          <w:rFonts w:ascii="Verdana" w:hAnsi="Verdana" w:cs="Tahoma"/>
          <w:sz w:val="20"/>
          <w:szCs w:val="20"/>
        </w:rPr>
        <w:t>36</w:t>
      </w:r>
      <w:r w:rsidR="00F17906">
        <w:rPr>
          <w:rFonts w:ascii="Verdana" w:hAnsi="Verdana" w:cs="Tahoma"/>
          <w:sz w:val="20"/>
          <w:szCs w:val="20"/>
        </w:rPr>
        <w:t>.000,</w:t>
      </w:r>
      <w:r w:rsidR="00F569CB">
        <w:rPr>
          <w:rFonts w:ascii="Verdana" w:hAnsi="Verdana" w:cs="Tahoma"/>
          <w:sz w:val="20"/>
          <w:szCs w:val="20"/>
        </w:rPr>
        <w:t>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1A308C">
        <w:rPr>
          <w:rFonts w:ascii="Verdana" w:hAnsi="Verdana" w:cs="Tahoma"/>
          <w:sz w:val="20"/>
          <w:szCs w:val="20"/>
        </w:rPr>
        <w:t xml:space="preserve">trinta e seis </w:t>
      </w:r>
      <w:r w:rsidR="004078C6">
        <w:rPr>
          <w:rFonts w:ascii="Verdana" w:hAnsi="Verdana" w:cs="Tahoma"/>
          <w:sz w:val="20"/>
          <w:szCs w:val="20"/>
        </w:rPr>
        <w:t>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1A308C" w:rsidRPr="00E4485A" w:rsidRDefault="001A308C" w:rsidP="001A308C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>
        <w:rPr>
          <w:rFonts w:ascii="Verdana" w:hAnsi="Verdana" w:cs="Tahoma"/>
          <w:sz w:val="20"/>
          <w:szCs w:val="20"/>
        </w:rPr>
        <w:t>E ADM. FINANÇAS E PLANEJAMENTO</w:t>
      </w:r>
      <w:proofErr w:type="gramStart"/>
      <w:r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1A308C" w:rsidRPr="00E4485A" w:rsidRDefault="001A308C" w:rsidP="001A308C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E4485A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3.01 -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>
        <w:rPr>
          <w:rFonts w:ascii="Verdana" w:hAnsi="Verdana" w:cs="Tahoma"/>
          <w:sz w:val="20"/>
          <w:szCs w:val="20"/>
        </w:rPr>
        <w:t>ADMINISTRAÇÃO</w:t>
      </w:r>
    </w:p>
    <w:p w:rsidR="001A308C" w:rsidRDefault="001A308C" w:rsidP="001A308C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</w:t>
      </w:r>
    </w:p>
    <w:p w:rsidR="001A308C" w:rsidRPr="00E4485A" w:rsidRDefault="001A308C" w:rsidP="001A308C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 GERAL</w:t>
      </w:r>
    </w:p>
    <w:p w:rsidR="001A308C" w:rsidRPr="00E4485A" w:rsidRDefault="001A308C" w:rsidP="001A308C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E4485A">
        <w:rPr>
          <w:rFonts w:ascii="Verdana" w:hAnsi="Verdana" w:cs="Tahoma"/>
          <w:sz w:val="20"/>
          <w:szCs w:val="20"/>
        </w:rPr>
        <w:t>.000</w:t>
      </w:r>
      <w:r>
        <w:rPr>
          <w:rFonts w:ascii="Verdana" w:hAnsi="Verdana" w:cs="Tahoma"/>
          <w:sz w:val="20"/>
          <w:szCs w:val="20"/>
        </w:rPr>
        <w:t>3-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 GERAL</w:t>
      </w:r>
    </w:p>
    <w:p w:rsidR="001A308C" w:rsidRPr="00E4485A" w:rsidRDefault="001A308C" w:rsidP="001A308C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123</w:t>
      </w:r>
      <w:r w:rsidRPr="00E4485A">
        <w:rPr>
          <w:rFonts w:ascii="Verdana" w:hAnsi="Verdana" w:cs="Tahoma"/>
          <w:sz w:val="20"/>
          <w:szCs w:val="20"/>
        </w:rPr>
        <w:t>.000</w:t>
      </w:r>
      <w:r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10000-</w:t>
      </w:r>
      <w:r>
        <w:rPr>
          <w:rFonts w:ascii="Verdana" w:hAnsi="Verdana" w:cs="Tahoma"/>
          <w:sz w:val="20"/>
          <w:szCs w:val="20"/>
        </w:rPr>
        <w:tab/>
        <w:t>CONSTRUÇÃO E MOBILIÁRIO DO CENTRO ADMINISTRATIVO</w:t>
      </w:r>
    </w:p>
    <w:p w:rsidR="001A308C" w:rsidRPr="00E4485A" w:rsidRDefault="001A308C" w:rsidP="001A308C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1A308C" w:rsidRDefault="001A308C" w:rsidP="001A308C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>
        <w:rPr>
          <w:rFonts w:ascii="Verdana" w:hAnsi="Verdana" w:cs="Tahoma"/>
          <w:b/>
          <w:bCs/>
          <w:sz w:val="20"/>
          <w:szCs w:val="20"/>
        </w:rPr>
        <w:t>13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Recursos Ordinários           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R$ </w:t>
      </w:r>
      <w:r>
        <w:rPr>
          <w:rFonts w:ascii="Verdana" w:hAnsi="Verdana" w:cs="Tahoma"/>
          <w:b/>
          <w:bCs/>
          <w:sz w:val="20"/>
          <w:szCs w:val="20"/>
        </w:rPr>
        <w:t xml:space="preserve">           1.000,00</w:t>
      </w:r>
    </w:p>
    <w:p w:rsidR="001A308C" w:rsidRDefault="001A308C" w:rsidP="001A308C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280E59" w:rsidRDefault="001A308C" w:rsidP="001A308C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>
        <w:rPr>
          <w:rFonts w:ascii="Verdana" w:hAnsi="Verdana" w:cs="Tahoma"/>
          <w:b/>
          <w:bCs/>
          <w:sz w:val="20"/>
          <w:szCs w:val="20"/>
        </w:rPr>
        <w:t>14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183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Operações de Crédito </w:t>
      </w:r>
      <w:proofErr w:type="gramStart"/>
      <w:r>
        <w:rPr>
          <w:rFonts w:ascii="Verdana" w:hAnsi="Verdana" w:cs="Tahoma"/>
          <w:b/>
          <w:bCs/>
          <w:sz w:val="20"/>
          <w:szCs w:val="20"/>
        </w:rPr>
        <w:t>Internas -Outros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</w:p>
    <w:p w:rsidR="001A308C" w:rsidRDefault="00280E59" w:rsidP="001A308C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R$</w:t>
      </w:r>
      <w:r w:rsidR="001A308C">
        <w:rPr>
          <w:rFonts w:ascii="Verdana" w:hAnsi="Verdana" w:cs="Tahoma"/>
          <w:b/>
          <w:bCs/>
          <w:sz w:val="20"/>
          <w:szCs w:val="20"/>
        </w:rPr>
        <w:t xml:space="preserve">           </w:t>
      </w:r>
      <w:r>
        <w:rPr>
          <w:rFonts w:ascii="Verdana" w:hAnsi="Verdana" w:cs="Tahoma"/>
          <w:b/>
          <w:bCs/>
          <w:sz w:val="20"/>
          <w:szCs w:val="20"/>
        </w:rPr>
        <w:t>35.000,00</w:t>
      </w:r>
      <w:r w:rsidR="001A308C">
        <w:rPr>
          <w:rFonts w:ascii="Verdana" w:hAnsi="Verdana" w:cs="Tahoma"/>
          <w:b/>
          <w:bCs/>
          <w:sz w:val="20"/>
          <w:szCs w:val="20"/>
        </w:rPr>
        <w:t xml:space="preserve">     </w:t>
      </w:r>
      <w:r>
        <w:rPr>
          <w:rFonts w:ascii="Verdana" w:hAnsi="Verdana" w:cs="Tahoma"/>
          <w:b/>
          <w:bCs/>
          <w:sz w:val="20"/>
          <w:szCs w:val="20"/>
        </w:rPr>
        <w:t xml:space="preserve">      </w:t>
      </w:r>
    </w:p>
    <w:p w:rsidR="00771EA4" w:rsidRDefault="00771EA4" w:rsidP="00FC2710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54ACD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2D7785">
        <w:rPr>
          <w:rFonts w:ascii="Verdana" w:hAnsi="Verdana"/>
          <w:sz w:val="20"/>
          <w:szCs w:val="20"/>
        </w:rPr>
        <w:t>1</w:t>
      </w:r>
      <w:r w:rsidR="00280E59">
        <w:rPr>
          <w:rFonts w:ascii="Verdana" w:hAnsi="Verdana"/>
          <w:sz w:val="20"/>
          <w:szCs w:val="20"/>
        </w:rPr>
        <w:t>3</w:t>
      </w:r>
      <w:r w:rsidR="00F17906">
        <w:rPr>
          <w:rFonts w:ascii="Verdana" w:hAnsi="Verdana"/>
          <w:sz w:val="20"/>
          <w:szCs w:val="20"/>
        </w:rPr>
        <w:t xml:space="preserve"> de </w:t>
      </w:r>
      <w:r w:rsidR="00091F50">
        <w:rPr>
          <w:rFonts w:ascii="Verdana" w:hAnsi="Verdana"/>
          <w:sz w:val="20"/>
          <w:szCs w:val="20"/>
        </w:rPr>
        <w:t>outubro</w:t>
      </w:r>
      <w:r w:rsidR="00F17906">
        <w:rPr>
          <w:rFonts w:ascii="Verdana" w:hAnsi="Verdana"/>
          <w:sz w:val="20"/>
          <w:szCs w:val="20"/>
        </w:rPr>
        <w:t xml:space="preserve"> de 2014.</w:t>
      </w:r>
    </w:p>
    <w:p w:rsidR="00CD3F34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814B6" w:rsidRPr="001663E4" w:rsidRDefault="001663E4" w:rsidP="00280E59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lastRenderedPageBreak/>
        <w:t>REGISTRADA E PUBLICADA EM DATA SUPRA.</w:t>
      </w: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212B"/>
    <w:rsid w:val="0004745F"/>
    <w:rsid w:val="00055EB3"/>
    <w:rsid w:val="00072854"/>
    <w:rsid w:val="00091F50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76FD2"/>
    <w:rsid w:val="001A308C"/>
    <w:rsid w:val="001C143B"/>
    <w:rsid w:val="001F0D2B"/>
    <w:rsid w:val="00234330"/>
    <w:rsid w:val="002639F1"/>
    <w:rsid w:val="00276DB7"/>
    <w:rsid w:val="00280E59"/>
    <w:rsid w:val="00290E9E"/>
    <w:rsid w:val="002B235B"/>
    <w:rsid w:val="002C0ADE"/>
    <w:rsid w:val="002D193D"/>
    <w:rsid w:val="002D7785"/>
    <w:rsid w:val="002F6115"/>
    <w:rsid w:val="00314605"/>
    <w:rsid w:val="00320AFD"/>
    <w:rsid w:val="00372D45"/>
    <w:rsid w:val="003866D7"/>
    <w:rsid w:val="00397A03"/>
    <w:rsid w:val="003B7229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A78F2"/>
    <w:rsid w:val="004B1A90"/>
    <w:rsid w:val="004B2578"/>
    <w:rsid w:val="00514206"/>
    <w:rsid w:val="005442ED"/>
    <w:rsid w:val="005F1EDB"/>
    <w:rsid w:val="005F4960"/>
    <w:rsid w:val="00604602"/>
    <w:rsid w:val="00604C39"/>
    <w:rsid w:val="00641EC7"/>
    <w:rsid w:val="00661062"/>
    <w:rsid w:val="006638FF"/>
    <w:rsid w:val="006849C4"/>
    <w:rsid w:val="006A31EE"/>
    <w:rsid w:val="006C43F4"/>
    <w:rsid w:val="006D5E13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1D60"/>
    <w:rsid w:val="00746272"/>
    <w:rsid w:val="00746CB7"/>
    <w:rsid w:val="00771EA4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E696A"/>
    <w:rsid w:val="008F4985"/>
    <w:rsid w:val="009024D0"/>
    <w:rsid w:val="0092399D"/>
    <w:rsid w:val="0096114D"/>
    <w:rsid w:val="00963891"/>
    <w:rsid w:val="00964312"/>
    <w:rsid w:val="00991CD7"/>
    <w:rsid w:val="009A5294"/>
    <w:rsid w:val="009C546E"/>
    <w:rsid w:val="009C72D6"/>
    <w:rsid w:val="009F433A"/>
    <w:rsid w:val="009F4383"/>
    <w:rsid w:val="009F7F91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D4D51"/>
    <w:rsid w:val="00BF3D42"/>
    <w:rsid w:val="00C00A20"/>
    <w:rsid w:val="00C120E5"/>
    <w:rsid w:val="00C77E08"/>
    <w:rsid w:val="00C87DDD"/>
    <w:rsid w:val="00CC5792"/>
    <w:rsid w:val="00CD3F34"/>
    <w:rsid w:val="00CE5AA6"/>
    <w:rsid w:val="00D03622"/>
    <w:rsid w:val="00D67DF7"/>
    <w:rsid w:val="00D73D1E"/>
    <w:rsid w:val="00D76FFA"/>
    <w:rsid w:val="00D814B6"/>
    <w:rsid w:val="00D841A6"/>
    <w:rsid w:val="00D844DE"/>
    <w:rsid w:val="00DD1624"/>
    <w:rsid w:val="00DE249E"/>
    <w:rsid w:val="00DF1362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17906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2710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4</cp:revision>
  <cp:lastPrinted>2014-10-15T19:13:00Z</cp:lastPrinted>
  <dcterms:created xsi:type="dcterms:W3CDTF">2014-10-15T18:43:00Z</dcterms:created>
  <dcterms:modified xsi:type="dcterms:W3CDTF">2014-10-15T19:55:00Z</dcterms:modified>
</cp:coreProperties>
</file>