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4" w:rsidRPr="00FF5A40" w:rsidRDefault="00D234E4" w:rsidP="00A077E6">
      <w:pPr>
        <w:pStyle w:val="Ttulo"/>
        <w:spacing w:line="360" w:lineRule="auto"/>
        <w:ind w:right="1043"/>
        <w:jc w:val="both"/>
        <w:rPr>
          <w:rFonts w:ascii="Bookman Old Style" w:hAnsi="Bookman Old Style" w:cs="Tahoma"/>
          <w:b/>
          <w:sz w:val="22"/>
          <w:szCs w:val="22"/>
        </w:rPr>
      </w:pPr>
      <w:r w:rsidRPr="00FF5A40">
        <w:rPr>
          <w:rFonts w:ascii="Bookman Old Style" w:hAnsi="Bookman Old Style" w:cs="Tahoma"/>
          <w:b/>
          <w:sz w:val="22"/>
          <w:szCs w:val="22"/>
        </w:rPr>
        <w:t>ESTADO DE SANTA CATARINA</w:t>
      </w:r>
    </w:p>
    <w:p w:rsidR="00D234E4" w:rsidRPr="00FF5A40" w:rsidRDefault="00597CF3" w:rsidP="00A077E6">
      <w:pPr>
        <w:pStyle w:val="Ttulo"/>
        <w:spacing w:line="360" w:lineRule="auto"/>
        <w:ind w:right="1043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MUNICIPIO</w:t>
      </w:r>
      <w:r w:rsidR="00D234E4" w:rsidRPr="00FF5A40">
        <w:rPr>
          <w:rFonts w:ascii="Bookman Old Style" w:hAnsi="Bookman Old Style" w:cs="Tahoma"/>
          <w:b/>
          <w:sz w:val="22"/>
          <w:szCs w:val="22"/>
        </w:rPr>
        <w:t xml:space="preserve"> DE FORMOSA DO SUL</w:t>
      </w:r>
    </w:p>
    <w:p w:rsidR="00D234E4" w:rsidRPr="00FF5A40" w:rsidRDefault="00D234E4" w:rsidP="00A077E6">
      <w:pPr>
        <w:pStyle w:val="Ttulo"/>
        <w:spacing w:line="360" w:lineRule="auto"/>
        <w:ind w:right="-1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31474" w:rsidRDefault="00597CF3" w:rsidP="00B52B4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597CF3">
        <w:rPr>
          <w:rFonts w:ascii="Bookman Old Style" w:hAnsi="Bookman Old Style" w:cs="Tahoma"/>
          <w:b/>
          <w:sz w:val="22"/>
          <w:szCs w:val="22"/>
        </w:rPr>
        <w:t xml:space="preserve">LEI </w:t>
      </w:r>
      <w:r w:rsidR="00B52B46">
        <w:rPr>
          <w:rFonts w:ascii="Bookman Old Style" w:hAnsi="Bookman Old Style" w:cs="Tahoma"/>
          <w:b/>
          <w:sz w:val="22"/>
          <w:szCs w:val="22"/>
        </w:rPr>
        <w:t xml:space="preserve">MUNICIPAL </w:t>
      </w:r>
      <w:r w:rsidRPr="00597CF3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B52B46">
        <w:rPr>
          <w:rFonts w:ascii="Bookman Old Style" w:hAnsi="Bookman Old Style" w:cs="Tahoma"/>
          <w:b/>
          <w:sz w:val="22"/>
          <w:szCs w:val="22"/>
        </w:rPr>
        <w:t>795</w:t>
      </w:r>
      <w:r>
        <w:rPr>
          <w:rFonts w:ascii="Bookman Old Style" w:hAnsi="Bookman Old Style" w:cs="Tahoma"/>
          <w:b/>
          <w:sz w:val="22"/>
          <w:szCs w:val="22"/>
        </w:rPr>
        <w:t xml:space="preserve">, DE </w:t>
      </w:r>
      <w:r w:rsidR="00B52B46">
        <w:rPr>
          <w:rFonts w:ascii="Bookman Old Style" w:hAnsi="Bookman Old Style" w:cs="Tahoma"/>
          <w:b/>
          <w:sz w:val="22"/>
          <w:szCs w:val="22"/>
        </w:rPr>
        <w:t>26</w:t>
      </w:r>
      <w:r>
        <w:rPr>
          <w:rFonts w:ascii="Bookman Old Style" w:hAnsi="Bookman Old Style" w:cs="Tahoma"/>
          <w:b/>
          <w:sz w:val="22"/>
          <w:szCs w:val="22"/>
        </w:rPr>
        <w:t xml:space="preserve"> DE </w:t>
      </w:r>
      <w:r w:rsidR="00B52B46">
        <w:rPr>
          <w:rFonts w:ascii="Bookman Old Style" w:hAnsi="Bookman Old Style" w:cs="Tahoma"/>
          <w:b/>
          <w:sz w:val="22"/>
          <w:szCs w:val="22"/>
        </w:rPr>
        <w:t>AGOSTO</w:t>
      </w:r>
      <w:r w:rsidRPr="00597CF3">
        <w:rPr>
          <w:rFonts w:ascii="Bookman Old Style" w:hAnsi="Bookman Old Style" w:cs="Tahoma"/>
          <w:b/>
          <w:sz w:val="22"/>
          <w:szCs w:val="22"/>
        </w:rPr>
        <w:t xml:space="preserve"> DE 2021</w:t>
      </w:r>
      <w:r>
        <w:rPr>
          <w:rFonts w:ascii="Bookman Old Style" w:hAnsi="Bookman Old Style" w:cs="Tahoma"/>
          <w:b/>
          <w:sz w:val="22"/>
          <w:szCs w:val="22"/>
        </w:rPr>
        <w:t>.</w:t>
      </w:r>
    </w:p>
    <w:p w:rsidR="00597CF3" w:rsidRPr="00597CF3" w:rsidRDefault="00597CF3" w:rsidP="00597CF3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D31474" w:rsidRPr="00FF5A40" w:rsidRDefault="00D234E4" w:rsidP="00597CF3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  <w:proofErr w:type="gramStart"/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“INSTITUI O PLANO PLURIANUAL DO MUNICÍPIO DE FORMOSA DO</w:t>
      </w:r>
      <w:r w:rsidR="00DA7FF3">
        <w:rPr>
          <w:rFonts w:ascii="Bookman Old Style" w:hAnsi="Bookman Old Style" w:cs="Arial"/>
          <w:b/>
          <w:color w:val="000000"/>
          <w:sz w:val="22"/>
          <w:szCs w:val="22"/>
        </w:rPr>
        <w:t xml:space="preserve"> SUL - SC PARA O QUADRIÊNIO 2022/2025</w:t>
      </w: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 xml:space="preserve"> E DÁ OUTRAS PROVIDÊNCIAS</w:t>
      </w:r>
      <w:r w:rsidR="00541403" w:rsidRPr="00FF5A40">
        <w:rPr>
          <w:rFonts w:ascii="Bookman Old Style" w:hAnsi="Bookman Old Style" w:cs="Arial"/>
          <w:b/>
          <w:color w:val="000000"/>
          <w:sz w:val="22"/>
          <w:szCs w:val="22"/>
        </w:rPr>
        <w:t>”</w:t>
      </w:r>
      <w:proofErr w:type="gramEnd"/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.</w:t>
      </w:r>
    </w:p>
    <w:p w:rsidR="00D31474" w:rsidRPr="00FF5A40" w:rsidRDefault="00D31474" w:rsidP="00A077E6">
      <w:pPr>
        <w:autoSpaceDE w:val="0"/>
        <w:autoSpaceDN w:val="0"/>
        <w:adjustRightInd w:val="0"/>
        <w:spacing w:before="120" w:after="80"/>
        <w:ind w:firstLine="1418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CAPÍTULO I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DO PLANEJAMENTO GOVERNAMENTAL E DO PLANO PLURIANUAL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Esta lei institui o Plano Plurianual (PPA) do mu</w:t>
      </w:r>
      <w:r w:rsidR="00DA7FF3">
        <w:rPr>
          <w:rFonts w:ascii="Bookman Old Style" w:hAnsi="Bookman Old Style" w:cs="Arial"/>
          <w:color w:val="000000"/>
          <w:sz w:val="22"/>
          <w:szCs w:val="22"/>
        </w:rPr>
        <w:t>nicípio para o exercício de 2022 a 2025</w:t>
      </w:r>
      <w:r w:rsidR="00EE6F53" w:rsidRPr="00FF5A40">
        <w:rPr>
          <w:rFonts w:ascii="Bookman Old Style" w:hAnsi="Bookman Old Style" w:cs="Arial"/>
          <w:color w:val="000000"/>
          <w:sz w:val="22"/>
          <w:szCs w:val="22"/>
        </w:rPr>
        <w:t xml:space="preserve">, em cumprimento do disposto no §1º do art. 165 da Constituição Federal e </w:t>
      </w:r>
      <w:r w:rsidR="00D234E4" w:rsidRPr="00FF5A40">
        <w:rPr>
          <w:rFonts w:ascii="Bookman Old Style" w:hAnsi="Bookman Old Style" w:cs="Tahoma"/>
          <w:sz w:val="22"/>
          <w:szCs w:val="22"/>
        </w:rPr>
        <w:t xml:space="preserve">em cumprimento ao disposto no art.1º Do Ato das Disposições Transitórias da Lei Orgânica Municipal, </w:t>
      </w:r>
      <w:r w:rsidR="00EE6F53" w:rsidRPr="00FF5A40">
        <w:rPr>
          <w:rFonts w:ascii="Bookman Old Style" w:hAnsi="Bookman Old Style" w:cs="Arial"/>
          <w:color w:val="000000"/>
          <w:sz w:val="22"/>
          <w:szCs w:val="22"/>
        </w:rPr>
        <w:t xml:space="preserve">da Lei Orgânica do Município de </w:t>
      </w:r>
      <w:r w:rsidR="003D1020" w:rsidRPr="00FF5A40">
        <w:rPr>
          <w:rFonts w:ascii="Bookman Old Style" w:hAnsi="Bookman Old Style" w:cs="Arial"/>
          <w:color w:val="000000"/>
          <w:sz w:val="22"/>
          <w:szCs w:val="22"/>
        </w:rPr>
        <w:t xml:space="preserve">Formosa do Sul </w:t>
      </w:r>
      <w:r w:rsidR="00541403" w:rsidRPr="00FF5A40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3D1020" w:rsidRPr="00FF5A40">
        <w:rPr>
          <w:rFonts w:ascii="Bookman Old Style" w:hAnsi="Bookman Old Style" w:cs="Arial"/>
          <w:color w:val="000000"/>
          <w:sz w:val="22"/>
          <w:szCs w:val="22"/>
        </w:rPr>
        <w:t xml:space="preserve"> SC</w:t>
      </w:r>
      <w:r w:rsidR="00541403" w:rsidRPr="00FF5A40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Art.2º</w:t>
      </w:r>
      <w:r w:rsidR="00A077E6" w:rsidRPr="00FF5A40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O Plano Plurianual é instrumento de planejamento governamental que define diretrizes, objetivos e metas com o propósito de viabilizar a implementação e a gestão das políticas públicas, convergir </w:t>
      </w:r>
      <w:proofErr w:type="gramStart"/>
      <w:r w:rsidRPr="00FF5A40">
        <w:rPr>
          <w:rFonts w:ascii="Bookman Old Style" w:hAnsi="Bookman Old Style" w:cs="Arial"/>
          <w:color w:val="000000"/>
          <w:sz w:val="22"/>
          <w:szCs w:val="22"/>
        </w:rPr>
        <w:t>a</w:t>
      </w:r>
      <w:proofErr w:type="gramEnd"/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dimensão estratégica da ação governamental e orientar a definição de prioridades.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Art.3º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Plano Plurianual tem como diretrizes: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 – valorização do cidadão-usuário como motivo de qualquer ação governamental;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II – participação da sociedade na escolha de prioridades, acompanhamento e avaliação dos resultados;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III – forte ênfase nas ações que envolvem o desenvolvimento humano;</w:t>
      </w:r>
    </w:p>
    <w:p w:rsidR="00D31474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IV – a excelência na gestão.</w:t>
      </w:r>
    </w:p>
    <w:p w:rsidR="00597CF3" w:rsidRPr="00FF5A40" w:rsidRDefault="00597CF3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CAPÍTULO II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DA ESTRUTURA E ORGANIZAÇÃO DO PLANO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Art.4º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Plano Plurianual reflete as políticas públicas e organiza a atuação governamental por meio de Programas, classificados em duas 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lastRenderedPageBreak/>
        <w:t>espécies, os Temáticos e os de Gestão, Manutenção e Serviços, assim definidos: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I – </w:t>
      </w:r>
      <w:r w:rsidRPr="00FF5A40">
        <w:rPr>
          <w:rFonts w:ascii="Bookman Old Style" w:hAnsi="Bookman Old Style" w:cs="Arial"/>
          <w:i/>
          <w:color w:val="000000"/>
          <w:sz w:val="22"/>
          <w:szCs w:val="22"/>
        </w:rPr>
        <w:t>Programa Temático: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aquele que expressa </w:t>
      </w:r>
      <w:proofErr w:type="gramStart"/>
      <w:r w:rsidRPr="00FF5A40">
        <w:rPr>
          <w:rFonts w:ascii="Bookman Old Style" w:hAnsi="Bookman Old Style" w:cs="Arial"/>
          <w:color w:val="000000"/>
          <w:sz w:val="22"/>
          <w:szCs w:val="22"/>
        </w:rPr>
        <w:t>a</w:t>
      </w:r>
      <w:proofErr w:type="gramEnd"/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agenda de governo por meio de políticas públicas, orientando a ação governamental para a entrega de bens e serviços à sociedade; e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II – </w:t>
      </w:r>
      <w:r w:rsidRPr="00FF5A40">
        <w:rPr>
          <w:rFonts w:ascii="Bookman Old Style" w:hAnsi="Bookman Old Style" w:cs="Arial"/>
          <w:i/>
          <w:color w:val="000000"/>
          <w:sz w:val="22"/>
          <w:szCs w:val="22"/>
        </w:rPr>
        <w:t>Programa de Gestão, Manutenção e Serviços: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aquele que reúne um conjunto de ações destinadas ao apoio, à gestão e à manutenção da atuação governamental.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Art.5º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Os programas temáticos são compostos por indicadores de desempenho, objetivos e valores para os quatro exercícios.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§1º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Indicador é um instrumento que permite identificar e aferir, periodicamente, aspectos relacionados a um Programa, auxiliando o seu monitoramento e a sua avaliação, sendo sua perspectiva de evolução demonstrada pelas metas.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§2º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Objetivo expressa o que deve ser feito, refletindo as situações a serem alteradas e tem como atributos: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I – Órgão e Unidade Responsável: é aquele cujas atribuições mais contribuem para a </w:t>
      </w:r>
      <w:proofErr w:type="gramStart"/>
      <w:r w:rsidRPr="00FF5A40">
        <w:rPr>
          <w:rFonts w:ascii="Bookman Old Style" w:hAnsi="Bookman Old Style" w:cs="Arial"/>
          <w:color w:val="000000"/>
          <w:sz w:val="22"/>
          <w:szCs w:val="22"/>
        </w:rPr>
        <w:t>implementação</w:t>
      </w:r>
      <w:proofErr w:type="gramEnd"/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do objetivo;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II – Meta: é uma medida do alcance do objetivo vinculada ao indicador de desempenho</w:t>
      </w:r>
      <w:r w:rsidR="003D1020" w:rsidRPr="00FF5A40">
        <w:rPr>
          <w:rFonts w:ascii="Bookman Old Style" w:hAnsi="Bookman Old Style" w:cs="Arial"/>
          <w:color w:val="000000"/>
          <w:sz w:val="22"/>
          <w:szCs w:val="22"/>
        </w:rPr>
        <w:t>.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 6º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 cada meta são associadas iniciativas orçamentárias.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§1º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As iniciativas declaram as entregas de bens e serviços à sociedade, resultantes da coordenação de ações orçamentárias (atividades, projetos ou operações especiais)</w:t>
      </w:r>
      <w:r w:rsidR="0018618D" w:rsidRPr="00FF5A40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541403" w:rsidRPr="00597CF3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§2º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As iniciativas que se caracterizarem por projetos serão identificadas por subtítulos (localizador de gasto) </w:t>
      </w:r>
      <w:r w:rsidRPr="00FF5A40">
        <w:rPr>
          <w:rFonts w:ascii="Bookman Old Style" w:hAnsi="Bookman Old Style" w:cs="Arial"/>
          <w:sz w:val="22"/>
          <w:szCs w:val="22"/>
        </w:rPr>
        <w:t>utilizados especialmente para especificar a localização física da ação.</w:t>
      </w:r>
    </w:p>
    <w:p w:rsidR="00541403" w:rsidRPr="00FF5A40" w:rsidRDefault="00D31474" w:rsidP="00597CF3">
      <w:pPr>
        <w:pStyle w:val="Recuodecorpodetexto3"/>
        <w:spacing w:after="0" w:line="360" w:lineRule="auto"/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r w:rsidRPr="00FF5A40">
        <w:rPr>
          <w:rFonts w:ascii="Bookman Old Style" w:hAnsi="Bookman Old Style" w:cs="Arial"/>
          <w:b/>
          <w:sz w:val="22"/>
          <w:szCs w:val="22"/>
        </w:rPr>
        <w:t>Art.7º</w:t>
      </w:r>
      <w:r w:rsidRPr="00FF5A40">
        <w:rPr>
          <w:rFonts w:ascii="Bookman Old Style" w:hAnsi="Bookman Old Style" w:cs="Arial"/>
          <w:sz w:val="22"/>
          <w:szCs w:val="22"/>
        </w:rPr>
        <w:t xml:space="preserve"> As codificações dos programas serão observadas nas leis de diretrizes orçamentárias, nas leis orçamentárias anuais e nos projetos que os modifiquem.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Art.8º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Integram o Plano Plurianual os seguintes anexos:</w:t>
      </w:r>
    </w:p>
    <w:p w:rsidR="00B507F6" w:rsidRPr="00FF5A40" w:rsidRDefault="00D31474" w:rsidP="00A077E6">
      <w:pPr>
        <w:spacing w:line="360" w:lineRule="auto"/>
        <w:ind w:firstLine="709"/>
        <w:jc w:val="both"/>
        <w:rPr>
          <w:rFonts w:ascii="Bookman Old Style" w:hAnsi="Bookman Old Style" w:cs="Arial"/>
          <w:snapToGrid w:val="0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I – Demonstrativo da previsão da receita para o </w:t>
      </w:r>
      <w:r w:rsidR="00DA7FF3">
        <w:rPr>
          <w:rFonts w:ascii="Bookman Old Style" w:hAnsi="Bookman Old Style" w:cs="Arial"/>
          <w:snapToGrid w:val="0"/>
          <w:color w:val="000000"/>
          <w:sz w:val="22"/>
          <w:szCs w:val="22"/>
        </w:rPr>
        <w:t>quadriênio 2022-2025</w:t>
      </w: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; </w:t>
      </w:r>
    </w:p>
    <w:p w:rsidR="00D31474" w:rsidRPr="00FF5A40" w:rsidRDefault="00B507F6" w:rsidP="00A077E6">
      <w:pPr>
        <w:spacing w:line="360" w:lineRule="auto"/>
        <w:ind w:firstLine="709"/>
        <w:jc w:val="both"/>
        <w:rPr>
          <w:rFonts w:ascii="Bookman Old Style" w:hAnsi="Bookman Old Style" w:cs="Arial"/>
          <w:snapToGrid w:val="0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>II – Despesa por Progra</w:t>
      </w:r>
      <w:r w:rsidR="00DA7FF3">
        <w:rPr>
          <w:rFonts w:ascii="Bookman Old Style" w:hAnsi="Bookman Old Style" w:cs="Arial"/>
          <w:snapToGrid w:val="0"/>
          <w:color w:val="000000"/>
          <w:sz w:val="22"/>
          <w:szCs w:val="22"/>
        </w:rPr>
        <w:t>ma e Ação para o quadriênio 2022-2025</w:t>
      </w: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; </w:t>
      </w:r>
      <w:proofErr w:type="gramStart"/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>e</w:t>
      </w:r>
      <w:proofErr w:type="gramEnd"/>
    </w:p>
    <w:p w:rsidR="00D31474" w:rsidRDefault="00D31474" w:rsidP="00597CF3">
      <w:pPr>
        <w:spacing w:line="360" w:lineRule="auto"/>
        <w:ind w:firstLine="709"/>
        <w:jc w:val="both"/>
        <w:rPr>
          <w:rFonts w:ascii="Bookman Old Style" w:hAnsi="Bookman Old Style" w:cs="Arial"/>
          <w:snapToGrid w:val="0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>II</w:t>
      </w:r>
      <w:r w:rsidR="00750734"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>I</w:t>
      </w:r>
      <w:r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 xml:space="preserve"> – Demonstrativo dos Programas de Governo para o </w:t>
      </w:r>
      <w:r w:rsidR="00DA7FF3">
        <w:rPr>
          <w:rFonts w:ascii="Bookman Old Style" w:hAnsi="Bookman Old Style" w:cs="Arial"/>
          <w:snapToGrid w:val="0"/>
          <w:color w:val="000000"/>
          <w:sz w:val="22"/>
          <w:szCs w:val="22"/>
        </w:rPr>
        <w:t>quadriênio 2022-2025</w:t>
      </w:r>
      <w:r w:rsidR="00EE6F53" w:rsidRPr="00FF5A40">
        <w:rPr>
          <w:rFonts w:ascii="Bookman Old Style" w:hAnsi="Bookman Old Style" w:cs="Arial"/>
          <w:snapToGrid w:val="0"/>
          <w:color w:val="000000"/>
          <w:sz w:val="22"/>
          <w:szCs w:val="22"/>
        </w:rPr>
        <w:t>.</w:t>
      </w:r>
    </w:p>
    <w:p w:rsidR="00B15F37" w:rsidRPr="00597CF3" w:rsidRDefault="00B15F37" w:rsidP="00597CF3">
      <w:pPr>
        <w:spacing w:line="360" w:lineRule="auto"/>
        <w:ind w:firstLine="709"/>
        <w:jc w:val="both"/>
        <w:rPr>
          <w:rFonts w:ascii="Bookman Old Style" w:hAnsi="Bookman Old Style" w:cs="Arial"/>
          <w:snapToGrid w:val="0"/>
          <w:color w:val="000000"/>
          <w:sz w:val="22"/>
          <w:szCs w:val="22"/>
        </w:rPr>
      </w:pP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lastRenderedPageBreak/>
        <w:t>CAPÍTULO III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DA INTEGRAÇÃO COM OS ORÇAMENTOS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Art.9º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Os Programas constantes do Plano Plurianual estarão expressos nas leis de diretrizes orçamentárias, nas leis orçamentárias anuais e nas leis que as modifiquem.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Art.10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Os Valores previstos no Plano Plurianual serão automaticamente atualizados pelas leis de diretrizes orçamentárias e orçamentos anuais.</w:t>
      </w:r>
    </w:p>
    <w:p w:rsidR="00541403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Art.11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Plano Plurianual somente poderá ser alterado por lei específica para esta finalidade.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Art.12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Poder Executivo, para compatibilizar as alterações promovidas pelas leis orçamentárias anuais e pelas leis que as modifiquem, fica autorizado a: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I – incluir, excluir ou alterar:</w:t>
      </w:r>
    </w:p>
    <w:p w:rsidR="00D31474" w:rsidRPr="00FF5A40" w:rsidRDefault="0018618D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a</w:t>
      </w:r>
      <w:r w:rsidR="00D31474" w:rsidRPr="00FF5A40">
        <w:rPr>
          <w:rFonts w:ascii="Bookman Old Style" w:hAnsi="Bookman Old Style" w:cs="Arial"/>
          <w:color w:val="000000"/>
          <w:sz w:val="22"/>
          <w:szCs w:val="22"/>
        </w:rPr>
        <w:t>) os indicadores de desempenho;</w:t>
      </w:r>
    </w:p>
    <w:p w:rsidR="00D31474" w:rsidRPr="00FF5A40" w:rsidRDefault="0018618D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b</w:t>
      </w:r>
      <w:r w:rsidR="00D31474" w:rsidRPr="00FF5A40">
        <w:rPr>
          <w:rFonts w:ascii="Bookman Old Style" w:hAnsi="Bookman Old Style" w:cs="Arial"/>
          <w:color w:val="000000"/>
          <w:sz w:val="22"/>
          <w:szCs w:val="22"/>
        </w:rPr>
        <w:t>) as Metas;</w:t>
      </w:r>
    </w:p>
    <w:p w:rsidR="00D31474" w:rsidRPr="00FF5A40" w:rsidRDefault="0018618D" w:rsidP="00A0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c</w:t>
      </w:r>
      <w:r w:rsidR="00D31474" w:rsidRPr="00FF5A40">
        <w:rPr>
          <w:rFonts w:ascii="Bookman Old Style" w:hAnsi="Bookman Old Style" w:cs="Arial"/>
          <w:color w:val="000000"/>
          <w:sz w:val="22"/>
          <w:szCs w:val="22"/>
        </w:rPr>
        <w:t xml:space="preserve">) o Órgão e a Unidade Responsável; </w:t>
      </w:r>
      <w:proofErr w:type="gramStart"/>
      <w:r w:rsidR="00D31474" w:rsidRPr="00FF5A40">
        <w:rPr>
          <w:rFonts w:ascii="Bookman Old Style" w:hAnsi="Bookman Old Style" w:cs="Arial"/>
          <w:color w:val="000000"/>
          <w:sz w:val="22"/>
          <w:szCs w:val="22"/>
        </w:rPr>
        <w:t>e</w:t>
      </w:r>
      <w:proofErr w:type="gramEnd"/>
    </w:p>
    <w:p w:rsidR="00D31474" w:rsidRPr="00FF5A40" w:rsidRDefault="0018618D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color w:val="000000"/>
          <w:sz w:val="22"/>
          <w:szCs w:val="22"/>
        </w:rPr>
        <w:t>d</w:t>
      </w:r>
      <w:r w:rsidR="00D31474" w:rsidRPr="00FF5A40">
        <w:rPr>
          <w:rFonts w:ascii="Bookman Old Style" w:hAnsi="Bookman Old Style" w:cs="Arial"/>
          <w:color w:val="000000"/>
          <w:sz w:val="22"/>
          <w:szCs w:val="22"/>
        </w:rPr>
        <w:t>) os subtítulos (localizadores de gasto) que não sejam originados de emendas impositivas.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CAPÍTULO IV</w:t>
      </w:r>
    </w:p>
    <w:p w:rsidR="00D31474" w:rsidRPr="00FF5A40" w:rsidRDefault="00D31474" w:rsidP="00A077E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DA AVALIAÇÃO E TRANSPARÊNCIA DO PLANO</w:t>
      </w:r>
    </w:p>
    <w:p w:rsidR="00F132FE" w:rsidRPr="00FF5A40" w:rsidRDefault="00D31474" w:rsidP="00597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snapToGrid w:val="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Art.13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FF5A40">
        <w:rPr>
          <w:rFonts w:ascii="Bookman Old Style" w:hAnsi="Bookman Old Style" w:cs="Arial"/>
          <w:snapToGrid w:val="0"/>
          <w:sz w:val="22"/>
          <w:szCs w:val="22"/>
        </w:rPr>
        <w:t>A lei de diretrizes orçamentárias definirá anualmente e para cada exercício a forma de avaliação dos resultados dos Programas de Governo, conforme prevê a Lei Complementar n. 101, de 2000, art. 4º, inciso I, alínea “e”.</w:t>
      </w:r>
    </w:p>
    <w:p w:rsidR="00B52B46" w:rsidRPr="00597CF3" w:rsidRDefault="00D31474" w:rsidP="00B52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Art.14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O município manterá atualizado o plano e o divulgará no Portal Transparência, nos termos do art. 48 da Lei de Responsabilidade Fiscal.</w:t>
      </w:r>
      <w:bookmarkStart w:id="0" w:name="_GoBack"/>
      <w:bookmarkEnd w:id="0"/>
    </w:p>
    <w:p w:rsidR="00F132FE" w:rsidRPr="00FF5A40" w:rsidRDefault="00D31474" w:rsidP="00597CF3">
      <w:pPr>
        <w:spacing w:line="360" w:lineRule="auto"/>
        <w:ind w:firstLine="709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F5A40">
        <w:rPr>
          <w:rFonts w:ascii="Bookman Old Style" w:hAnsi="Bookman Old Style" w:cs="Arial"/>
          <w:b/>
          <w:color w:val="000000"/>
          <w:sz w:val="22"/>
          <w:szCs w:val="22"/>
        </w:rPr>
        <w:t>Art.15</w:t>
      </w:r>
      <w:r w:rsidRPr="00FF5A40">
        <w:rPr>
          <w:rFonts w:ascii="Bookman Old Style" w:hAnsi="Bookman Old Style" w:cs="Arial"/>
          <w:color w:val="000000"/>
          <w:sz w:val="22"/>
          <w:szCs w:val="22"/>
        </w:rPr>
        <w:t xml:space="preserve"> Esta lei entra em vigor na data de sua publicação.</w:t>
      </w:r>
    </w:p>
    <w:p w:rsidR="00A077E6" w:rsidRDefault="00A077E6" w:rsidP="00A077E6">
      <w:pPr>
        <w:ind w:firstLine="1418"/>
        <w:jc w:val="both"/>
        <w:rPr>
          <w:rFonts w:ascii="Bookman Old Style" w:hAnsi="Bookman Old Style" w:cs="Tahoma"/>
          <w:sz w:val="22"/>
          <w:szCs w:val="22"/>
        </w:rPr>
      </w:pPr>
    </w:p>
    <w:p w:rsidR="00B15F37" w:rsidRPr="00FF5A40" w:rsidRDefault="00B15F37" w:rsidP="00A077E6">
      <w:pPr>
        <w:ind w:firstLine="1418"/>
        <w:jc w:val="both"/>
        <w:rPr>
          <w:rFonts w:ascii="Bookman Old Style" w:hAnsi="Bookman Old Style" w:cs="Tahoma"/>
          <w:sz w:val="22"/>
          <w:szCs w:val="22"/>
        </w:rPr>
      </w:pPr>
    </w:p>
    <w:p w:rsidR="00A077E6" w:rsidRPr="00FF5A40" w:rsidRDefault="00A077E6" w:rsidP="00A077E6">
      <w:pPr>
        <w:jc w:val="both"/>
        <w:rPr>
          <w:rFonts w:ascii="Bookman Old Style" w:hAnsi="Bookman Old Style" w:cs="Tahoma"/>
          <w:sz w:val="22"/>
          <w:szCs w:val="22"/>
        </w:rPr>
      </w:pPr>
      <w:r w:rsidRPr="00FF5A40">
        <w:rPr>
          <w:rFonts w:ascii="Bookman Old Style" w:hAnsi="Bookman Old Style" w:cs="Tahoma"/>
          <w:sz w:val="22"/>
          <w:szCs w:val="22"/>
        </w:rPr>
        <w:t xml:space="preserve">Gabinete do Executivo Municipal de Formosa do Sul, SC, em </w:t>
      </w:r>
      <w:r w:rsidR="00B52B46">
        <w:rPr>
          <w:rFonts w:ascii="Bookman Old Style" w:hAnsi="Bookman Old Style" w:cs="Tahoma"/>
          <w:sz w:val="22"/>
          <w:szCs w:val="22"/>
        </w:rPr>
        <w:t>26</w:t>
      </w:r>
      <w:r w:rsidRPr="00FF5A40">
        <w:rPr>
          <w:rFonts w:ascii="Bookman Old Style" w:hAnsi="Bookman Old Style" w:cs="Tahoma"/>
          <w:sz w:val="22"/>
          <w:szCs w:val="22"/>
        </w:rPr>
        <w:t xml:space="preserve"> de </w:t>
      </w:r>
      <w:r w:rsidR="00B52B46">
        <w:rPr>
          <w:rFonts w:ascii="Bookman Old Style" w:hAnsi="Bookman Old Style" w:cs="Tahoma"/>
          <w:sz w:val="22"/>
          <w:szCs w:val="22"/>
        </w:rPr>
        <w:t>agosto</w:t>
      </w:r>
      <w:r w:rsidR="00FF5A40" w:rsidRPr="00FF5A40">
        <w:rPr>
          <w:rFonts w:ascii="Bookman Old Style" w:hAnsi="Bookman Old Style" w:cs="Tahoma"/>
          <w:sz w:val="22"/>
          <w:szCs w:val="22"/>
        </w:rPr>
        <w:t xml:space="preserve"> de</w:t>
      </w:r>
      <w:r w:rsidR="00DA7FF3">
        <w:rPr>
          <w:rFonts w:ascii="Bookman Old Style" w:hAnsi="Bookman Old Style" w:cs="Tahoma"/>
          <w:sz w:val="22"/>
          <w:szCs w:val="22"/>
        </w:rPr>
        <w:t xml:space="preserve"> 2021</w:t>
      </w:r>
      <w:r w:rsidR="008C6354" w:rsidRPr="00FF5A40">
        <w:rPr>
          <w:rFonts w:ascii="Bookman Old Style" w:hAnsi="Bookman Old Style" w:cs="Tahoma"/>
          <w:sz w:val="22"/>
          <w:szCs w:val="22"/>
        </w:rPr>
        <w:t>.</w:t>
      </w:r>
    </w:p>
    <w:p w:rsidR="00A077E6" w:rsidRPr="00FF5A40" w:rsidRDefault="00A077E6" w:rsidP="00A077E6">
      <w:pPr>
        <w:ind w:firstLine="1418"/>
        <w:jc w:val="center"/>
        <w:rPr>
          <w:rFonts w:ascii="Bookman Old Style" w:hAnsi="Bookman Old Style" w:cs="Tahoma"/>
          <w:sz w:val="22"/>
          <w:szCs w:val="22"/>
        </w:rPr>
      </w:pPr>
    </w:p>
    <w:p w:rsidR="00A077E6" w:rsidRDefault="00A077E6" w:rsidP="00A077E6">
      <w:pPr>
        <w:ind w:firstLine="1418"/>
        <w:jc w:val="center"/>
        <w:rPr>
          <w:rFonts w:ascii="Bookman Old Style" w:hAnsi="Bookman Old Style" w:cs="Tahoma"/>
          <w:sz w:val="22"/>
          <w:szCs w:val="22"/>
        </w:rPr>
      </w:pPr>
    </w:p>
    <w:p w:rsidR="00B15F37" w:rsidRPr="00FF5A40" w:rsidRDefault="00B15F37" w:rsidP="00A077E6">
      <w:pPr>
        <w:ind w:firstLine="1418"/>
        <w:jc w:val="center"/>
        <w:rPr>
          <w:rFonts w:ascii="Bookman Old Style" w:hAnsi="Bookman Old Style" w:cs="Tahoma"/>
          <w:sz w:val="22"/>
          <w:szCs w:val="22"/>
        </w:rPr>
      </w:pPr>
    </w:p>
    <w:p w:rsidR="00A077E6" w:rsidRPr="00FF5A40" w:rsidRDefault="00A077E6" w:rsidP="00A077E6">
      <w:pPr>
        <w:ind w:firstLine="1418"/>
        <w:jc w:val="center"/>
        <w:rPr>
          <w:rFonts w:ascii="Bookman Old Style" w:hAnsi="Bookman Old Style" w:cs="Tahoma"/>
          <w:sz w:val="22"/>
          <w:szCs w:val="22"/>
        </w:rPr>
      </w:pPr>
    </w:p>
    <w:p w:rsidR="00A077E6" w:rsidRPr="00FF5A40" w:rsidRDefault="00DA7FF3" w:rsidP="00A077E6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JORGE ANTONIO COMUNELLO</w:t>
      </w:r>
    </w:p>
    <w:p w:rsidR="00A077E6" w:rsidRPr="00FF5A40" w:rsidRDefault="00A077E6" w:rsidP="008C6354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FF5A40">
        <w:rPr>
          <w:rFonts w:ascii="Bookman Old Style" w:hAnsi="Bookman Old Style" w:cs="Tahoma"/>
          <w:b/>
          <w:sz w:val="22"/>
          <w:szCs w:val="22"/>
        </w:rPr>
        <w:t>PREFEITO MUNICIPAL</w:t>
      </w:r>
    </w:p>
    <w:p w:rsidR="00A077E6" w:rsidRPr="00FF5A40" w:rsidRDefault="00A077E6" w:rsidP="00A077E6">
      <w:pPr>
        <w:ind w:firstLine="1419"/>
        <w:rPr>
          <w:rFonts w:ascii="Bookman Old Style" w:hAnsi="Bookman Old Style" w:cs="Tahoma"/>
          <w:sz w:val="22"/>
          <w:szCs w:val="22"/>
        </w:rPr>
      </w:pPr>
    </w:p>
    <w:p w:rsidR="00F132FE" w:rsidRPr="00FF5A40" w:rsidRDefault="00F132FE" w:rsidP="008C6354">
      <w:pPr>
        <w:rPr>
          <w:rFonts w:ascii="Bookman Old Style" w:hAnsi="Bookman Old Style" w:cs="Tahoma"/>
          <w:b/>
          <w:sz w:val="22"/>
          <w:szCs w:val="22"/>
        </w:rPr>
      </w:pPr>
    </w:p>
    <w:sectPr w:rsidR="00F132FE" w:rsidRPr="00FF5A40" w:rsidSect="00B15F37">
      <w:pgSz w:w="11906" w:h="16838"/>
      <w:pgMar w:top="1417" w:right="1701" w:bottom="141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557"/>
    <w:multiLevelType w:val="hybridMultilevel"/>
    <w:tmpl w:val="4E30F8E0"/>
    <w:lvl w:ilvl="0" w:tplc="670CB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4"/>
    <w:rsid w:val="00082890"/>
    <w:rsid w:val="000B7542"/>
    <w:rsid w:val="000E359C"/>
    <w:rsid w:val="00162EC9"/>
    <w:rsid w:val="0018618D"/>
    <w:rsid w:val="001A569E"/>
    <w:rsid w:val="001A6760"/>
    <w:rsid w:val="001B7C7F"/>
    <w:rsid w:val="0021161E"/>
    <w:rsid w:val="00230E54"/>
    <w:rsid w:val="002717A7"/>
    <w:rsid w:val="00287C4C"/>
    <w:rsid w:val="002A0BB8"/>
    <w:rsid w:val="002C3C5A"/>
    <w:rsid w:val="002D452D"/>
    <w:rsid w:val="002E24CD"/>
    <w:rsid w:val="002E5D69"/>
    <w:rsid w:val="00305454"/>
    <w:rsid w:val="00316B22"/>
    <w:rsid w:val="0035125E"/>
    <w:rsid w:val="00384CC5"/>
    <w:rsid w:val="003D1020"/>
    <w:rsid w:val="00493FAF"/>
    <w:rsid w:val="00541403"/>
    <w:rsid w:val="005564FD"/>
    <w:rsid w:val="00563550"/>
    <w:rsid w:val="00597CF3"/>
    <w:rsid w:val="005A6A3F"/>
    <w:rsid w:val="005C1EB7"/>
    <w:rsid w:val="005C4ED2"/>
    <w:rsid w:val="006B2F68"/>
    <w:rsid w:val="006C3007"/>
    <w:rsid w:val="006F5133"/>
    <w:rsid w:val="00704208"/>
    <w:rsid w:val="00717AFC"/>
    <w:rsid w:val="00746FEF"/>
    <w:rsid w:val="00750734"/>
    <w:rsid w:val="007536EF"/>
    <w:rsid w:val="007C19D5"/>
    <w:rsid w:val="008466FE"/>
    <w:rsid w:val="00850B44"/>
    <w:rsid w:val="008614A9"/>
    <w:rsid w:val="008C6354"/>
    <w:rsid w:val="008E11C7"/>
    <w:rsid w:val="008E6821"/>
    <w:rsid w:val="00901BFF"/>
    <w:rsid w:val="00944C1C"/>
    <w:rsid w:val="009B7FBE"/>
    <w:rsid w:val="00A077E6"/>
    <w:rsid w:val="00A32CD2"/>
    <w:rsid w:val="00A563EE"/>
    <w:rsid w:val="00A7366D"/>
    <w:rsid w:val="00AD25A7"/>
    <w:rsid w:val="00AD59AC"/>
    <w:rsid w:val="00AE6FAC"/>
    <w:rsid w:val="00B15F37"/>
    <w:rsid w:val="00B507F6"/>
    <w:rsid w:val="00B52B46"/>
    <w:rsid w:val="00BE061E"/>
    <w:rsid w:val="00BE18D5"/>
    <w:rsid w:val="00C5721F"/>
    <w:rsid w:val="00CD0BC2"/>
    <w:rsid w:val="00CE6BD2"/>
    <w:rsid w:val="00CF5503"/>
    <w:rsid w:val="00D234E4"/>
    <w:rsid w:val="00D31474"/>
    <w:rsid w:val="00D5680B"/>
    <w:rsid w:val="00DA7FF3"/>
    <w:rsid w:val="00DF67E1"/>
    <w:rsid w:val="00E672A4"/>
    <w:rsid w:val="00E87904"/>
    <w:rsid w:val="00EE6F53"/>
    <w:rsid w:val="00EF267A"/>
    <w:rsid w:val="00F052BD"/>
    <w:rsid w:val="00F132FE"/>
    <w:rsid w:val="00F85E61"/>
    <w:rsid w:val="00FD54E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1474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77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1474"/>
    <w:rPr>
      <w:rFonts w:ascii="Arial" w:eastAsia="Times New Roman" w:hAnsi="Arial" w:cs="Arial"/>
      <w:b/>
      <w:bCs/>
      <w:iCs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D3147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314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234E4"/>
    <w:pPr>
      <w:jc w:val="center"/>
    </w:pPr>
    <w:rPr>
      <w:rFonts w:ascii="Arial" w:hAnsi="Arial"/>
      <w:sz w:val="26"/>
      <w:szCs w:val="20"/>
    </w:rPr>
  </w:style>
  <w:style w:type="character" w:customStyle="1" w:styleId="TtuloChar">
    <w:name w:val="Título Char"/>
    <w:basedOn w:val="Fontepargpadro"/>
    <w:link w:val="Ttulo"/>
    <w:rsid w:val="00D234E4"/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77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1474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77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1474"/>
    <w:rPr>
      <w:rFonts w:ascii="Arial" w:eastAsia="Times New Roman" w:hAnsi="Arial" w:cs="Arial"/>
      <w:b/>
      <w:bCs/>
      <w:iCs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D3147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314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234E4"/>
    <w:pPr>
      <w:jc w:val="center"/>
    </w:pPr>
    <w:rPr>
      <w:rFonts w:ascii="Arial" w:hAnsi="Arial"/>
      <w:sz w:val="26"/>
      <w:szCs w:val="20"/>
    </w:rPr>
  </w:style>
  <w:style w:type="character" w:customStyle="1" w:styleId="TtuloChar">
    <w:name w:val="Título Char"/>
    <w:basedOn w:val="Fontepargpadro"/>
    <w:link w:val="Ttulo"/>
    <w:rsid w:val="00D234E4"/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77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Administração</cp:lastModifiedBy>
  <cp:revision>3</cp:revision>
  <cp:lastPrinted>2017-08-09T19:54:00Z</cp:lastPrinted>
  <dcterms:created xsi:type="dcterms:W3CDTF">2021-08-26T18:24:00Z</dcterms:created>
  <dcterms:modified xsi:type="dcterms:W3CDTF">2021-08-26T18:25:00Z</dcterms:modified>
</cp:coreProperties>
</file>