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0413C1F8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3B2209" w:rsidRPr="003B2209">
        <w:rPr>
          <w:rFonts w:ascii="Arial" w:hAnsi="Arial" w:cs="Arial"/>
          <w:b/>
          <w:sz w:val="24"/>
          <w:szCs w:val="24"/>
        </w:rPr>
        <w:t xml:space="preserve">ASSOCIAÇÃO ESPORTIVA E </w:t>
      </w:r>
      <w:proofErr w:type="gramStart"/>
      <w:r w:rsidR="003B2209" w:rsidRPr="003B2209">
        <w:rPr>
          <w:rFonts w:ascii="Arial" w:hAnsi="Arial" w:cs="Arial"/>
          <w:b/>
          <w:sz w:val="24"/>
          <w:szCs w:val="24"/>
        </w:rPr>
        <w:t>RECREATIVA SÃO CRISTÓVÃO</w:t>
      </w:r>
      <w:proofErr w:type="gramEnd"/>
      <w:r w:rsidR="003B2209" w:rsidRPr="003B2209">
        <w:rPr>
          <w:rFonts w:ascii="Arial" w:hAnsi="Arial" w:cs="Arial"/>
          <w:b/>
          <w:sz w:val="24"/>
          <w:szCs w:val="24"/>
        </w:rPr>
        <w:t xml:space="preserve"> DE TOPE DA SERRA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4D08B910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22795F" w:rsidRPr="0022795F">
        <w:rPr>
          <w:rFonts w:ascii="Arial" w:hAnsi="Arial" w:cs="Arial"/>
          <w:b/>
          <w:sz w:val="24"/>
          <w:szCs w:val="24"/>
        </w:rPr>
        <w:t>ASSOCIAÇÃO ESPORTIVA E RECREATIVA SÃO CRISTÓVÃO DE TOPE DA SERRA</w:t>
      </w:r>
      <w:r w:rsidR="0022795F" w:rsidRPr="0022795F">
        <w:rPr>
          <w:rFonts w:ascii="Arial" w:hAnsi="Arial" w:cs="Arial"/>
          <w:sz w:val="24"/>
          <w:szCs w:val="24"/>
        </w:rPr>
        <w:t>, Organização da Sociedade Civil, inscrita no CNPJ sob nº 02.601.931/0001-70, com sede na Estrada Linha Tope da Serra, s/n, interior, no Município de Formosa do Sul - SC</w:t>
      </w:r>
      <w:r w:rsidR="00B26ECA" w:rsidRPr="002B453C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B26ECA" w:rsidRPr="002B453C">
        <w:rPr>
          <w:rFonts w:ascii="Arial" w:hAnsi="Arial" w:cs="Arial"/>
          <w:sz w:val="24"/>
          <w:szCs w:val="24"/>
        </w:rPr>
        <w:t>ato representada</w:t>
      </w:r>
      <w:proofErr w:type="gramEnd"/>
      <w:r w:rsidR="00B26ECA" w:rsidRPr="002B453C">
        <w:rPr>
          <w:rFonts w:ascii="Arial" w:hAnsi="Arial" w:cs="Arial"/>
          <w:sz w:val="24"/>
          <w:szCs w:val="24"/>
        </w:rPr>
        <w:t xml:space="preserve"> pelo seu Presidente Sr.</w:t>
      </w:r>
      <w:r w:rsidR="00B26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95F">
        <w:rPr>
          <w:rFonts w:ascii="Arial" w:hAnsi="Arial" w:cs="Arial"/>
          <w:sz w:val="24"/>
          <w:szCs w:val="24"/>
        </w:rPr>
        <w:t>Nelso</w:t>
      </w:r>
      <w:proofErr w:type="spellEnd"/>
      <w:r w:rsidR="002279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95F">
        <w:rPr>
          <w:rFonts w:ascii="Arial" w:hAnsi="Arial" w:cs="Arial"/>
          <w:sz w:val="24"/>
          <w:szCs w:val="24"/>
        </w:rPr>
        <w:t>Ghidolin</w:t>
      </w:r>
      <w:proofErr w:type="spellEnd"/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22795F">
        <w:rPr>
          <w:rFonts w:ascii="Arial" w:hAnsi="Arial" w:cs="Arial"/>
          <w:sz w:val="24"/>
          <w:szCs w:val="24"/>
        </w:rPr>
        <w:t>023.889.979-92</w:t>
      </w:r>
      <w:r w:rsidR="00B26ECA">
        <w:rPr>
          <w:rFonts w:ascii="Arial" w:hAnsi="Arial" w:cs="Arial"/>
          <w:sz w:val="24"/>
          <w:szCs w:val="24"/>
        </w:rPr>
        <w:t>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01871FAF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A1595B">
        <w:rPr>
          <w:rFonts w:ascii="Arial" w:hAnsi="Arial" w:cs="Arial"/>
          <w:sz w:val="24"/>
          <w:szCs w:val="24"/>
        </w:rPr>
        <w:t>0</w:t>
      </w:r>
      <w:r w:rsidR="006D023F">
        <w:rPr>
          <w:rFonts w:ascii="Arial" w:hAnsi="Arial" w:cs="Arial"/>
          <w:sz w:val="24"/>
          <w:szCs w:val="24"/>
        </w:rPr>
        <w:t>7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22795F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384874" w:rsidRPr="005118CD">
        <w:rPr>
          <w:rFonts w:ascii="Arial" w:hAnsi="Arial" w:cs="Arial"/>
          <w:sz w:val="24"/>
          <w:szCs w:val="24"/>
        </w:rPr>
        <w:t xml:space="preserve">, </w:t>
      </w:r>
      <w:r w:rsidR="0022795F" w:rsidRPr="0022795F">
        <w:rPr>
          <w:rFonts w:ascii="Arial" w:hAnsi="Arial" w:cs="Arial"/>
          <w:sz w:val="24"/>
          <w:szCs w:val="24"/>
        </w:rPr>
        <w:t>Organização da Sociedade Civil, inscrita no CNPJ sob nº 02.601.931/0001-70, com sede na Estrada Linha Tope da Serra, s/n, interior,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</w:t>
      </w:r>
      <w:r w:rsidR="00F636EB">
        <w:rPr>
          <w:rFonts w:ascii="Arial" w:hAnsi="Arial" w:cs="Arial"/>
          <w:sz w:val="24"/>
          <w:szCs w:val="24"/>
        </w:rPr>
        <w:t>s</w:t>
      </w:r>
      <w:r w:rsidR="00E12D8B">
        <w:rPr>
          <w:rFonts w:ascii="Arial" w:hAnsi="Arial" w:cs="Arial"/>
          <w:sz w:val="24"/>
          <w:szCs w:val="24"/>
        </w:rPr>
        <w:t xml:space="preserve"> na sede da entidade, notadamente </w:t>
      </w:r>
      <w:r w:rsidR="0022795F">
        <w:rPr>
          <w:rFonts w:ascii="Arial" w:hAnsi="Arial" w:cs="Arial"/>
          <w:sz w:val="24"/>
          <w:szCs w:val="24"/>
        </w:rPr>
        <w:t xml:space="preserve">no </w:t>
      </w:r>
      <w:r w:rsidR="0022795F" w:rsidRPr="0022795F">
        <w:rPr>
          <w:rFonts w:ascii="Arial" w:hAnsi="Arial" w:cs="Arial"/>
          <w:sz w:val="24"/>
          <w:szCs w:val="24"/>
        </w:rPr>
        <w:t>alambrado, iluminação, banco de reservas e vestiários</w:t>
      </w:r>
      <w:r w:rsidR="008B16C6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análise de eventuais auditorias realizadas pelos controles interno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b.</w:t>
      </w:r>
      <w:proofErr w:type="gramEnd"/>
      <w:r>
        <w:rPr>
          <w:rFonts w:ascii="Arial" w:hAnsi="Arial" w:cs="Arial"/>
          <w:sz w:val="24"/>
          <w:szCs w:val="24"/>
        </w:rPr>
        <w:t>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547D">
        <w:rPr>
          <w:rFonts w:ascii="Arial" w:hAnsi="Arial" w:cs="Arial"/>
          <w:sz w:val="24"/>
          <w:szCs w:val="24"/>
        </w:rPr>
        <w:t xml:space="preserve">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o</w:t>
      </w:r>
      <w:proofErr w:type="gramEnd"/>
      <w:r w:rsidR="00762836">
        <w:rPr>
          <w:rFonts w:ascii="Arial" w:hAnsi="Arial" w:cs="Arial"/>
          <w:spacing w:val="-3"/>
          <w:sz w:val="24"/>
          <w:szCs w:val="24"/>
        </w:rPr>
        <w:t xml:space="preserve">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4E55E041" w14:textId="081A4BBB" w:rsidR="00135788" w:rsidRPr="00D31E20" w:rsidRDefault="00361E23" w:rsidP="00E301C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34799979" w14:textId="77777777" w:rsidR="00E301C9" w:rsidRDefault="00E301C9" w:rsidP="00E301C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38018ACD" w14:textId="77777777" w:rsidR="00E301C9" w:rsidRDefault="00E301C9" w:rsidP="00E301C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2E36BE21" w14:textId="77777777" w:rsidR="00E301C9" w:rsidRDefault="00E301C9" w:rsidP="00E301C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0528C1CC" w14:textId="77777777" w:rsidR="00E301C9" w:rsidRDefault="00E301C9" w:rsidP="00E301C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079F5F5E" w:rsidR="00361E23" w:rsidRPr="00D31E20" w:rsidRDefault="00E301C9" w:rsidP="00E301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metas e dos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quantidade de público, listas de presença, locais de apresentação, material de divulgação (em que constem os créditos exigidos),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clipagens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não-cumprimento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no prazo de até 90 (noventa) dias a partir da data de liberação de cada parcela do recurso e ao final do término da vigência da parceria, ou,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ante evidências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da sociedade civil sanar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proofErr w:type="gramEnd"/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3D7E959" w14:textId="77777777" w:rsidR="00E301C9" w:rsidRDefault="00E301C9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FDFD0" w14:textId="77777777" w:rsidR="00E301C9" w:rsidRDefault="00E301C9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2E34">
        <w:rPr>
          <w:rFonts w:ascii="Arial" w:hAnsi="Arial" w:cs="Arial"/>
          <w:b/>
          <w:sz w:val="24"/>
          <w:szCs w:val="24"/>
        </w:rPr>
        <w:lastRenderedPageBreak/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</w:t>
      </w:r>
      <w:proofErr w:type="gramStart"/>
      <w:r w:rsidRPr="00D53495">
        <w:rPr>
          <w:rFonts w:ascii="Arial" w:hAnsi="Arial" w:cs="Arial"/>
          <w:sz w:val="24"/>
          <w:szCs w:val="24"/>
        </w:rPr>
        <w:t>sob pena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 xml:space="preserve">, do controle interno e </w:t>
      </w:r>
      <w:proofErr w:type="gramStart"/>
      <w:r w:rsidRPr="00D53495">
        <w:rPr>
          <w:rFonts w:ascii="Arial" w:hAnsi="Arial" w:cs="Arial"/>
          <w:sz w:val="24"/>
          <w:szCs w:val="24"/>
        </w:rPr>
        <w:t>externo correspondentes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18BB2DFE" w:rsidR="00AF59E7" w:rsidRDefault="00DE3A5B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05C05114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2545080" cy="628650"/>
                <wp:effectExtent l="0" t="0" r="762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4FAC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5pt;margin-top:16.75pt;width:200.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58961431" w14:textId="4D282909" w:rsidR="006E514D" w:rsidRDefault="00DE3A5B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53602291">
                <wp:simplePos x="0" y="0"/>
                <wp:positionH relativeFrom="column">
                  <wp:posOffset>2338070</wp:posOffset>
                </wp:positionH>
                <wp:positionV relativeFrom="paragraph">
                  <wp:posOffset>10795</wp:posOffset>
                </wp:positionV>
                <wp:extent cx="4122420" cy="97980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C834" w14:textId="612A28A2" w:rsidR="003B2209" w:rsidRDefault="00A60AA7" w:rsidP="00DE3A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209" w:rsidRPr="003B22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NELSO GHIDOLIN </w:t>
                            </w:r>
                          </w:p>
                          <w:p w14:paraId="302961CA" w14:textId="3CF3544C" w:rsidR="00A60AA7" w:rsidRPr="001C7FE5" w:rsidRDefault="001C7FE5" w:rsidP="00DE3A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2279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ASSOCIAÇÃO ESPORTIVA E RECREATIVA SÃO CRISTÓVÃO DE TOPE DA SERRA</w:t>
                            </w: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4.1pt;margin-top:.85pt;width:324.6pt;height:7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" stroked="f">
                <v:textbox>
                  <w:txbxContent>
                    <w:p w14:paraId="491EC834" w14:textId="612A28A2" w:rsidR="003B2209" w:rsidRDefault="00A60AA7" w:rsidP="00DE3A5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B2209" w:rsidRPr="003B22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NELSO GHIDOLIN </w:t>
                      </w:r>
                    </w:p>
                    <w:p w14:paraId="302961CA" w14:textId="3CF3544C" w:rsidR="00A60AA7" w:rsidRPr="001C7FE5" w:rsidRDefault="001C7FE5" w:rsidP="00DE3A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22795F">
                        <w:rPr>
                          <w:rFonts w:ascii="Arial" w:hAnsi="Arial" w:cs="Arial"/>
                          <w:sz w:val="24"/>
                          <w:szCs w:val="24"/>
                        </w:rPr>
                        <w:t>ASSOCIAÇÃO ESPORTIVA E RECREATIVA SÃO CRISTÓVÃO DE TOPE DA SERRA</w:t>
                      </w: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77777777" w:rsidR="00FA33A7" w:rsidRDefault="00FA33A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A33A7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A977" w14:textId="77777777" w:rsidR="00A25EEC" w:rsidRDefault="00A25EEC">
      <w:r>
        <w:separator/>
      </w:r>
    </w:p>
  </w:endnote>
  <w:endnote w:type="continuationSeparator" w:id="0">
    <w:p w14:paraId="5C91BFE0" w14:textId="77777777" w:rsidR="00A25EEC" w:rsidRDefault="00A2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8BD08" w14:textId="77777777" w:rsidR="00A25EEC" w:rsidRDefault="00A25EEC">
      <w:r>
        <w:separator/>
      </w:r>
    </w:p>
  </w:footnote>
  <w:footnote w:type="continuationSeparator" w:id="0">
    <w:p w14:paraId="4CA98B34" w14:textId="77777777" w:rsidR="00A25EEC" w:rsidRDefault="00A2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6BCA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2795F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874"/>
    <w:rsid w:val="00384F52"/>
    <w:rsid w:val="00392EC4"/>
    <w:rsid w:val="00394A0A"/>
    <w:rsid w:val="003957AB"/>
    <w:rsid w:val="003A0FF5"/>
    <w:rsid w:val="003A22EB"/>
    <w:rsid w:val="003A559D"/>
    <w:rsid w:val="003B2209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0BFB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C6444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2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3BB8"/>
    <w:rsid w:val="007843D7"/>
    <w:rsid w:val="00786136"/>
    <w:rsid w:val="007A018D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3E74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25EEC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3A5B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01C9"/>
    <w:rsid w:val="00E323FB"/>
    <w:rsid w:val="00E326EE"/>
    <w:rsid w:val="00E33790"/>
    <w:rsid w:val="00E338FA"/>
    <w:rsid w:val="00E37320"/>
    <w:rsid w:val="00E40496"/>
    <w:rsid w:val="00E457C0"/>
    <w:rsid w:val="00E4716D"/>
    <w:rsid w:val="00E528C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42B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6EB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0403-339D-4519-AED2-9E6977FB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3526</Words>
  <Characters>19042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5</cp:revision>
  <cp:lastPrinted>2019-12-12T16:17:00Z</cp:lastPrinted>
  <dcterms:created xsi:type="dcterms:W3CDTF">2023-08-16T17:55:00Z</dcterms:created>
  <dcterms:modified xsi:type="dcterms:W3CDTF">2023-08-21T18:57:00Z</dcterms:modified>
</cp:coreProperties>
</file>