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9D3F8A">
        <w:rPr>
          <w:rFonts w:ascii="Bookman Old Style" w:hAnsi="Bookman Old Style"/>
        </w:rPr>
        <w:t>83</w:t>
      </w:r>
      <w:r w:rsidR="00E1376F">
        <w:rPr>
          <w:rFonts w:ascii="Bookman Old Style" w:hAnsi="Bookman Old Style"/>
        </w:rPr>
        <w:t>/202</w:t>
      </w:r>
      <w:r w:rsidR="0040565C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9D3F8A">
        <w:rPr>
          <w:rFonts w:ascii="Bookman Old Style" w:hAnsi="Bookman Old Style"/>
        </w:rPr>
        <w:t>51</w:t>
      </w:r>
      <w:r w:rsidR="00E1376F">
        <w:rPr>
          <w:rFonts w:ascii="Bookman Old Style" w:hAnsi="Bookman Old Style"/>
        </w:rPr>
        <w:t>/202</w:t>
      </w:r>
      <w:r w:rsidR="00642333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9D3F8A" w:rsidRPr="009D3F8A">
        <w:rPr>
          <w:rFonts w:ascii="Bookman Old Style" w:hAnsi="Bookman Old Style"/>
        </w:rPr>
        <w:t>AQUISIÇÃO DE MATERIAL PARA ATENDIM</w:t>
      </w:r>
      <w:r w:rsidR="009D3F8A">
        <w:rPr>
          <w:rFonts w:ascii="Bookman Old Style" w:hAnsi="Bookman Old Style"/>
        </w:rPr>
        <w:t xml:space="preserve">ENTO DA SITUAÇÃO DE EMERGÊNCIA </w:t>
      </w:r>
      <w:r w:rsidR="009D3F8A" w:rsidRPr="009D3F8A">
        <w:rPr>
          <w:rFonts w:ascii="Bookman Old Style" w:hAnsi="Bookman Old Style"/>
        </w:rPr>
        <w:t>DECLARADA PELO DECRETO MUNICIPAL Nº 6078, DE SETEMBRO DE 2023, EM RAZÃO DAS ÁREAS AFETADAS PELO VENDAVAL NO MUNICÍPIO DE FORMOSA DO SUL, NO DIA 04 DE SETEMBRO DE 2023.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9D3F8A">
        <w:rPr>
          <w:rFonts w:ascii="Bookman Old Style" w:hAnsi="Bookman Old Style"/>
        </w:rPr>
        <w:t>FRIGO E BONAFE CONSTRUTORA E COMERCIO DE MATERIAIS DE CONSTRUCAO LTDA.</w:t>
      </w:r>
    </w:p>
    <w:p w:rsidR="001E6C95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0"/>
      <w:r w:rsidR="00FA1FDD" w:rsidRPr="00FA1FDD">
        <w:rPr>
          <w:rFonts w:ascii="Bookman Old Style" w:hAnsi="Bookman Old Style"/>
        </w:rPr>
        <w:t xml:space="preserve">R$ </w:t>
      </w:r>
      <w:r w:rsidR="009D3F8A">
        <w:rPr>
          <w:rFonts w:ascii="Bookman Old Style" w:hAnsi="Bookman Old Style"/>
        </w:rPr>
        <w:t>13.491,00</w:t>
      </w:r>
      <w:r w:rsidR="00FA1FDD" w:rsidRPr="00FA1FDD">
        <w:rPr>
          <w:rFonts w:ascii="Bookman Old Style" w:hAnsi="Bookman Old Style"/>
        </w:rPr>
        <w:t xml:space="preserve"> (</w:t>
      </w:r>
      <w:r w:rsidR="009D3F8A">
        <w:rPr>
          <w:rFonts w:ascii="Bookman Old Style" w:hAnsi="Bookman Old Style"/>
        </w:rPr>
        <w:t>treze mil e quatrocentos e noventa e um reais</w:t>
      </w:r>
      <w:proofErr w:type="gramStart"/>
      <w:r w:rsidR="009D3F8A">
        <w:rPr>
          <w:rFonts w:ascii="Bookman Old Style" w:hAnsi="Bookman Old Style"/>
        </w:rPr>
        <w:t xml:space="preserve"> </w:t>
      </w:r>
      <w:r w:rsidR="00FA1FDD" w:rsidRPr="00FA1FDD">
        <w:rPr>
          <w:rFonts w:ascii="Bookman Old Style" w:hAnsi="Bookman Old Style"/>
        </w:rPr>
        <w:t>)</w:t>
      </w:r>
      <w:proofErr w:type="gramEnd"/>
    </w:p>
    <w:p w:rsidR="00EC7013" w:rsidRPr="003473DE" w:rsidRDefault="001E6C95" w:rsidP="00EC7013">
      <w:pPr>
        <w:spacing w:line="360" w:lineRule="auto"/>
        <w:jc w:val="both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</w:t>
      </w:r>
      <w:proofErr w:type="gramStart"/>
      <w:r w:rsidRPr="00D14D3B">
        <w:rPr>
          <w:rFonts w:ascii="Bookman Old Style" w:hAnsi="Bookman Old Style"/>
          <w:b/>
        </w:rPr>
        <w:t>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proofErr w:type="gramEnd"/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595839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 xml:space="preserve">, </w:t>
      </w:r>
      <w:r w:rsidR="0000324F" w:rsidRPr="003473DE">
        <w:rPr>
          <w:rFonts w:ascii="Bookman Old Style" w:hAnsi="Bookman Old Style"/>
        </w:rPr>
        <w:fldChar w:fldCharType="begin"/>
      </w:r>
      <w:r w:rsidR="0000324F" w:rsidRPr="003473DE">
        <w:rPr>
          <w:rFonts w:ascii="Bookman Old Style" w:hAnsi="Bookman Old Style"/>
        </w:rPr>
        <w:instrText xml:space="preserve"> DOCVARIABLE "DataExtensoHomolog" \* MERGEFORMAT </w:instrText>
      </w:r>
      <w:r w:rsidR="0000324F" w:rsidRPr="003473DE">
        <w:rPr>
          <w:rFonts w:ascii="Bookman Old Style" w:hAnsi="Bookman Old Style"/>
        </w:rPr>
        <w:fldChar w:fldCharType="separate"/>
      </w:r>
      <w:r w:rsidR="009D3F8A">
        <w:rPr>
          <w:rFonts w:ascii="Bookman Old Style" w:hAnsi="Bookman Old Style"/>
        </w:rPr>
        <w:t>12</w:t>
      </w:r>
      <w:r w:rsidR="00C1358A" w:rsidRPr="003473DE">
        <w:rPr>
          <w:rFonts w:ascii="Bookman Old Style" w:hAnsi="Bookman Old Style"/>
        </w:rPr>
        <w:t xml:space="preserve"> de </w:t>
      </w:r>
      <w:r w:rsidR="009D3F8A">
        <w:rPr>
          <w:rFonts w:ascii="Bookman Old Style" w:hAnsi="Bookman Old Style"/>
        </w:rPr>
        <w:t>Setembro</w:t>
      </w:r>
      <w:r w:rsidR="00C1358A" w:rsidRPr="003473DE">
        <w:rPr>
          <w:rFonts w:ascii="Bookman Old Style" w:hAnsi="Bookman Old Style"/>
        </w:rPr>
        <w:t xml:space="preserve"> de 202</w:t>
      </w:r>
      <w:r w:rsidR="00642333">
        <w:rPr>
          <w:rFonts w:ascii="Bookman Old Style" w:hAnsi="Bookman Old Style"/>
        </w:rPr>
        <w:t>3</w:t>
      </w:r>
      <w:proofErr w:type="gramStart"/>
      <w:r w:rsidR="0000324F" w:rsidRPr="003473DE">
        <w:rPr>
          <w:rFonts w:ascii="Bookman Old Style" w:hAnsi="Bookman Old Style"/>
        </w:rPr>
        <w:fldChar w:fldCharType="end"/>
      </w:r>
      <w:proofErr w:type="gramEnd"/>
    </w:p>
    <w:p w:rsidR="00595839" w:rsidRDefault="00595839" w:rsidP="001E6C95">
      <w:pPr>
        <w:spacing w:after="0"/>
        <w:jc w:val="center"/>
        <w:rPr>
          <w:rFonts w:ascii="Bookman Old Style" w:hAnsi="Bookman Old Style"/>
        </w:rPr>
      </w:pPr>
    </w:p>
    <w:p w:rsidR="00595839" w:rsidRDefault="00595839" w:rsidP="001E6C95">
      <w:pPr>
        <w:spacing w:after="0"/>
        <w:jc w:val="center"/>
        <w:rPr>
          <w:rFonts w:ascii="Bookman Old Style" w:hAnsi="Bookman Old Style"/>
        </w:rPr>
      </w:pPr>
    </w:p>
    <w:p w:rsidR="00595839" w:rsidRDefault="00595839" w:rsidP="001E6C95">
      <w:pPr>
        <w:spacing w:after="0"/>
        <w:jc w:val="center"/>
        <w:rPr>
          <w:rFonts w:ascii="Bookman Old Style" w:hAnsi="Bookman Old Style"/>
        </w:rPr>
      </w:pPr>
    </w:p>
    <w:p w:rsidR="00595839" w:rsidRDefault="00595839" w:rsidP="001E6C95">
      <w:pPr>
        <w:spacing w:after="0"/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bookmarkStart w:id="1" w:name="_GoBack"/>
      <w:bookmarkEnd w:id="1"/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26F80"/>
    <w:rsid w:val="00046B5D"/>
    <w:rsid w:val="00057A08"/>
    <w:rsid w:val="00134596"/>
    <w:rsid w:val="00136A8A"/>
    <w:rsid w:val="00152F40"/>
    <w:rsid w:val="001656AA"/>
    <w:rsid w:val="00185118"/>
    <w:rsid w:val="001B68AD"/>
    <w:rsid w:val="001E5889"/>
    <w:rsid w:val="001E6C95"/>
    <w:rsid w:val="00200F69"/>
    <w:rsid w:val="00300A7C"/>
    <w:rsid w:val="003473DE"/>
    <w:rsid w:val="003A4876"/>
    <w:rsid w:val="0040565C"/>
    <w:rsid w:val="00441ABE"/>
    <w:rsid w:val="0051003E"/>
    <w:rsid w:val="00595839"/>
    <w:rsid w:val="005D065D"/>
    <w:rsid w:val="00642333"/>
    <w:rsid w:val="00681F3B"/>
    <w:rsid w:val="0068234D"/>
    <w:rsid w:val="00726204"/>
    <w:rsid w:val="007733C2"/>
    <w:rsid w:val="007D7C2B"/>
    <w:rsid w:val="00822E9C"/>
    <w:rsid w:val="00823970"/>
    <w:rsid w:val="00835DB1"/>
    <w:rsid w:val="00836C11"/>
    <w:rsid w:val="008B117C"/>
    <w:rsid w:val="009029FB"/>
    <w:rsid w:val="00921717"/>
    <w:rsid w:val="009B3BD7"/>
    <w:rsid w:val="009D3F8A"/>
    <w:rsid w:val="009E4BE5"/>
    <w:rsid w:val="00B90E02"/>
    <w:rsid w:val="00BE6B63"/>
    <w:rsid w:val="00C1358A"/>
    <w:rsid w:val="00C145D6"/>
    <w:rsid w:val="00C31158"/>
    <w:rsid w:val="00CC4790"/>
    <w:rsid w:val="00D02F61"/>
    <w:rsid w:val="00D14D3B"/>
    <w:rsid w:val="00D454C5"/>
    <w:rsid w:val="00DB796C"/>
    <w:rsid w:val="00DF18EF"/>
    <w:rsid w:val="00E1376F"/>
    <w:rsid w:val="00E5504D"/>
    <w:rsid w:val="00E6515D"/>
    <w:rsid w:val="00E820F8"/>
    <w:rsid w:val="00E903FA"/>
    <w:rsid w:val="00EC7013"/>
    <w:rsid w:val="00F163B2"/>
    <w:rsid w:val="00F24964"/>
    <w:rsid w:val="00F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31</cp:revision>
  <dcterms:created xsi:type="dcterms:W3CDTF">2021-01-26T18:49:00Z</dcterms:created>
  <dcterms:modified xsi:type="dcterms:W3CDTF">2023-09-12T12:29:00Z</dcterms:modified>
</cp:coreProperties>
</file>