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473168C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B8713E">
              <w:rPr>
                <w:rFonts w:ascii="Bookman Old Style" w:hAnsi="Bookman Old Style" w:cs="Calibri Light"/>
              </w:rPr>
              <w:t>49</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36D244A2"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295DF3">
              <w:rPr>
                <w:rFonts w:ascii="Bookman Old Style" w:hAnsi="Bookman Old Style" w:cs="Calibri Light"/>
              </w:rPr>
              <w:t>1</w:t>
            </w:r>
            <w:r w:rsidR="00B8713E">
              <w:rPr>
                <w:rFonts w:ascii="Bookman Old Style" w:hAnsi="Bookman Old Style" w:cs="Calibri Light"/>
              </w:rPr>
              <w:t>7</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0D5CFD8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MENOR PREÇO UNITÁRIO (POR ITEM)</w:t>
            </w:r>
          </w:p>
          <w:p w14:paraId="377DB03D" w14:textId="77777777" w:rsidR="00023BEC"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B8713E" w:rsidRPr="00B8713E">
              <w:rPr>
                <w:rFonts w:ascii="Bookman Old Style" w:hAnsi="Bookman Old Style" w:cs="Calibri Light"/>
              </w:rPr>
              <w:t>REGISTRO DE PREÇOS PARA EVENTUAL E FUTURA AQUISIÇÃO DE MOBILIÁRIOS, UTENSÍLIOS E DEMAIS EQUIPAMENTOS VISANDO ATENDER AS SECRETÁRIAS DO MUNICÍPIO DE FORMOSA DO SUL/</w:t>
            </w:r>
            <w:proofErr w:type="gramStart"/>
            <w:r w:rsidR="00B8713E" w:rsidRPr="00B8713E">
              <w:rPr>
                <w:rFonts w:ascii="Bookman Old Style" w:hAnsi="Bookman Old Style" w:cs="Calibri Light"/>
              </w:rPr>
              <w:t>SC</w:t>
            </w:r>
            <w:proofErr w:type="gramEnd"/>
            <w:r w:rsidR="00B8713E" w:rsidRPr="00B8713E">
              <w:rPr>
                <w:rFonts w:ascii="Bookman Old Style" w:hAnsi="Bookman Old Style" w:cs="Calibri Light"/>
              </w:rPr>
              <w:t xml:space="preserve"> </w:t>
            </w:r>
          </w:p>
          <w:p w14:paraId="5CB37283" w14:textId="2F37C140"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023BEC">
              <w:rPr>
                <w:rFonts w:ascii="Bookman Old Style" w:hAnsi="Bookman Old Style" w:cs="Calibri Light"/>
              </w:rPr>
              <w:t>04</w:t>
            </w:r>
            <w:r w:rsidR="004A3D15" w:rsidRPr="004A3D15">
              <w:rPr>
                <w:rFonts w:ascii="Bookman Old Style" w:hAnsi="Bookman Old Style" w:cs="Calibri Light"/>
              </w:rPr>
              <w:t>/0</w:t>
            </w:r>
            <w:r w:rsidR="00023BEC">
              <w:rPr>
                <w:rFonts w:ascii="Bookman Old Style" w:hAnsi="Bookman Old Style" w:cs="Calibri Light"/>
              </w:rPr>
              <w:t>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3083BAFC"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B8713E">
              <w:rPr>
                <w:rFonts w:ascii="Bookman Old Style" w:hAnsi="Bookman Old Style" w:cs="Calibri Light"/>
              </w:rPr>
              <w:t>04</w:t>
            </w:r>
            <w:r w:rsidR="004A3D15" w:rsidRPr="004A3D15">
              <w:rPr>
                <w:rFonts w:ascii="Bookman Old Style" w:hAnsi="Bookman Old Style" w:cs="Calibri Light"/>
              </w:rPr>
              <w:t>/0</w:t>
            </w:r>
            <w:r w:rsidR="00B8713E">
              <w:rPr>
                <w:rFonts w:ascii="Bookman Old Style" w:hAnsi="Bookman Old Style" w:cs="Calibri Light"/>
              </w:rPr>
              <w:t>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6F3C11F5"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A163C4">
              <w:rPr>
                <w:rFonts w:ascii="Bookman Old Style" w:hAnsi="Bookman Old Style" w:cs="Calibri Light"/>
              </w:rPr>
              <w:t>21</w:t>
            </w:r>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A163C4">
              <w:rPr>
                <w:rFonts w:ascii="Bookman Old Style" w:hAnsi="Bookman Old Style" w:cs="Calibri Light"/>
              </w:rPr>
              <w:t>Maio</w:t>
            </w:r>
            <w:bookmarkStart w:id="0" w:name="_GoBack"/>
            <w:bookmarkEnd w:id="0"/>
            <w:r w:rsidR="009F7C2E">
              <w:rPr>
                <w:rFonts w:ascii="Bookman Old Style" w:hAnsi="Bookman Old Style" w:cs="Calibri Light"/>
                <w:color w:val="FF0000"/>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77777777" w:rsidR="00AE0E7D" w:rsidRPr="00472C29" w:rsidRDefault="00AE0E7D" w:rsidP="007B74DB">
            <w:pPr>
              <w:jc w:val="center"/>
              <w:rPr>
                <w:rFonts w:ascii="Bookman Old Style" w:hAnsi="Bookman Old Style" w:cs="Calibri Light"/>
                <w:b/>
              </w:rPr>
            </w:pP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23BEC"/>
    <w:rsid w:val="0008701D"/>
    <w:rsid w:val="00093DC0"/>
    <w:rsid w:val="000C6777"/>
    <w:rsid w:val="00101DB8"/>
    <w:rsid w:val="00160FA8"/>
    <w:rsid w:val="00167A80"/>
    <w:rsid w:val="001D2EFF"/>
    <w:rsid w:val="00200FA9"/>
    <w:rsid w:val="00250C20"/>
    <w:rsid w:val="00273F05"/>
    <w:rsid w:val="00295DF3"/>
    <w:rsid w:val="002C390D"/>
    <w:rsid w:val="00312C43"/>
    <w:rsid w:val="00317BCA"/>
    <w:rsid w:val="003C1053"/>
    <w:rsid w:val="00402A5E"/>
    <w:rsid w:val="0042701D"/>
    <w:rsid w:val="00432379"/>
    <w:rsid w:val="00472C29"/>
    <w:rsid w:val="00472D1C"/>
    <w:rsid w:val="004A3D15"/>
    <w:rsid w:val="004E4BE2"/>
    <w:rsid w:val="004E7DFB"/>
    <w:rsid w:val="004F5620"/>
    <w:rsid w:val="005A5D33"/>
    <w:rsid w:val="005D3BF8"/>
    <w:rsid w:val="005D47D0"/>
    <w:rsid w:val="005E27FA"/>
    <w:rsid w:val="005E2F6A"/>
    <w:rsid w:val="00617571"/>
    <w:rsid w:val="00665D36"/>
    <w:rsid w:val="00676883"/>
    <w:rsid w:val="006822DB"/>
    <w:rsid w:val="006C547C"/>
    <w:rsid w:val="006C6FF2"/>
    <w:rsid w:val="00706FE3"/>
    <w:rsid w:val="00735812"/>
    <w:rsid w:val="00775F29"/>
    <w:rsid w:val="007B74DB"/>
    <w:rsid w:val="007D2BD0"/>
    <w:rsid w:val="007D2C7E"/>
    <w:rsid w:val="00812EEA"/>
    <w:rsid w:val="00835EFC"/>
    <w:rsid w:val="008A587F"/>
    <w:rsid w:val="008B3A94"/>
    <w:rsid w:val="008B563D"/>
    <w:rsid w:val="008C5BB4"/>
    <w:rsid w:val="0090457B"/>
    <w:rsid w:val="009B741C"/>
    <w:rsid w:val="009F7C2E"/>
    <w:rsid w:val="00A1153F"/>
    <w:rsid w:val="00A15981"/>
    <w:rsid w:val="00A163C4"/>
    <w:rsid w:val="00A4213E"/>
    <w:rsid w:val="00A6245B"/>
    <w:rsid w:val="00A820BE"/>
    <w:rsid w:val="00A84ADD"/>
    <w:rsid w:val="00AA3723"/>
    <w:rsid w:val="00AC7DE8"/>
    <w:rsid w:val="00AE0E7D"/>
    <w:rsid w:val="00B12689"/>
    <w:rsid w:val="00B279FB"/>
    <w:rsid w:val="00B544E8"/>
    <w:rsid w:val="00B8713E"/>
    <w:rsid w:val="00B943E3"/>
    <w:rsid w:val="00B97507"/>
    <w:rsid w:val="00B9760E"/>
    <w:rsid w:val="00BA4664"/>
    <w:rsid w:val="00BB2EF0"/>
    <w:rsid w:val="00BD48C1"/>
    <w:rsid w:val="00BE332D"/>
    <w:rsid w:val="00C27FB2"/>
    <w:rsid w:val="00C73802"/>
    <w:rsid w:val="00C97F5A"/>
    <w:rsid w:val="00CF1F66"/>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145</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28</cp:revision>
  <cp:lastPrinted>2024-02-26T12:27:00Z</cp:lastPrinted>
  <dcterms:created xsi:type="dcterms:W3CDTF">2024-02-01T13:59:00Z</dcterms:created>
  <dcterms:modified xsi:type="dcterms:W3CDTF">2024-05-21T17:10:00Z</dcterms:modified>
</cp:coreProperties>
</file>