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6EC0305C"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3D4793">
              <w:rPr>
                <w:rFonts w:ascii="Bookman Old Style" w:hAnsi="Bookman Old Style" w:cs="Calibri Light"/>
              </w:rPr>
              <w:t>111</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14F33D72"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3D4793">
              <w:rPr>
                <w:rFonts w:ascii="Bookman Old Style" w:hAnsi="Bookman Old Style" w:cs="Calibri Light"/>
              </w:rPr>
              <w:t>35</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633BE0D5"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F61F6" w:rsidRPr="001F61F6">
              <w:rPr>
                <w:rFonts w:ascii="Bookman Old Style" w:hAnsi="Bookman Old Style" w:cs="Calibri Light"/>
              </w:rPr>
              <w:t>MENOR PREÇO GLOBAL/POR LOTE</w:t>
            </w:r>
            <w:r w:rsidR="001F61F6">
              <w:rPr>
                <w:rFonts w:ascii="Bookman Old Style" w:hAnsi="Bookman Old Style" w:cs="Calibri Light"/>
              </w:rPr>
              <w:t>.</w:t>
            </w:r>
          </w:p>
          <w:p w14:paraId="3A0C44F8" w14:textId="62F7B3C6"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3D4793" w:rsidRPr="003D4793">
              <w:rPr>
                <w:rFonts w:ascii="Bookman Old Style" w:hAnsi="Bookman Old Style" w:cs="Calibri Light"/>
              </w:rPr>
              <w:t>CONTRATAÇÃO DE EMPRESA ESPECIALIZADA PARA FORNECIMENTO DE SISTEMA GESTÃO DE SAÚDE PÚBLICA WEB CUSTOMIZÁVEL, AUDITORIA, TREINAMENTO, CAPACITAÇÃO E EDUCAÇÃO CONTINUADA, VINCULADA AO PROCESSO DE GESTÃO DA ATENÇÃO PRIMÁRIA À SAÚDE, PARA O FUNDO MUNICIPAL DE SAÚDE DE FORMOSA DO SUL/SC</w:t>
            </w:r>
            <w:r w:rsidR="00D12DC6">
              <w:rPr>
                <w:rFonts w:ascii="Bookman Old Style" w:hAnsi="Bookman Old Style" w:cs="Calibri Light"/>
              </w:rPr>
              <w:t>.</w:t>
            </w:r>
          </w:p>
          <w:p w14:paraId="5CB37283" w14:textId="630FA22D"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3D4793">
              <w:rPr>
                <w:rFonts w:ascii="Bookman Old Style" w:hAnsi="Bookman Old Style" w:cs="Calibri Light"/>
              </w:rPr>
              <w:t>0</w:t>
            </w:r>
            <w:r w:rsidR="00C61D18">
              <w:rPr>
                <w:rFonts w:ascii="Bookman Old Style" w:hAnsi="Bookman Old Style" w:cs="Calibri Light"/>
              </w:rPr>
              <w:t>6</w:t>
            </w:r>
            <w:r w:rsidR="001A5FFC" w:rsidRPr="002F4477">
              <w:rPr>
                <w:rFonts w:ascii="Bookman Old Style" w:hAnsi="Bookman Old Style" w:cs="Calibri Light"/>
              </w:rPr>
              <w:t>/</w:t>
            </w:r>
            <w:r w:rsidR="00D12DC6">
              <w:rPr>
                <w:rFonts w:ascii="Bookman Old Style" w:hAnsi="Bookman Old Style" w:cs="Calibri Light"/>
              </w:rPr>
              <w:t>1</w:t>
            </w:r>
            <w:r w:rsidR="003D4793">
              <w:rPr>
                <w:rFonts w:ascii="Bookman Old Style" w:hAnsi="Bookman Old Style" w:cs="Calibri Light"/>
              </w:rPr>
              <w:t>2</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09D34AEA"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D12DC6">
              <w:rPr>
                <w:rFonts w:ascii="Bookman Old Style" w:hAnsi="Bookman Old Style" w:cs="Calibri Light"/>
              </w:rPr>
              <w:t xml:space="preserve"> </w:t>
            </w:r>
            <w:r w:rsidR="003D4793">
              <w:rPr>
                <w:rFonts w:ascii="Bookman Old Style" w:hAnsi="Bookman Old Style" w:cs="Calibri Light"/>
              </w:rPr>
              <w:t>0</w:t>
            </w:r>
            <w:r w:rsidR="00C61D18">
              <w:rPr>
                <w:rFonts w:ascii="Bookman Old Style" w:hAnsi="Bookman Old Style" w:cs="Calibri Light"/>
              </w:rPr>
              <w:t>6</w:t>
            </w:r>
            <w:r w:rsidR="00AB6981" w:rsidRPr="002F4477">
              <w:rPr>
                <w:rFonts w:ascii="Bookman Old Style" w:hAnsi="Bookman Old Style" w:cs="Calibri Light"/>
              </w:rPr>
              <w:t>/</w:t>
            </w:r>
            <w:r w:rsidR="003D4793">
              <w:rPr>
                <w:rFonts w:ascii="Bookman Old Style" w:hAnsi="Bookman Old Style" w:cs="Calibri Light"/>
              </w:rPr>
              <w:t>12</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7E0749FB"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C61D18">
              <w:rPr>
                <w:rFonts w:ascii="Bookman Old Style" w:hAnsi="Bookman Old Style" w:cs="Calibri Light"/>
              </w:rPr>
              <w:t>25</w:t>
            </w:r>
            <w:bookmarkStart w:id="0" w:name="_GoBack"/>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3D4793">
              <w:rPr>
                <w:rFonts w:ascii="Bookman Old Style" w:hAnsi="Bookman Old Style" w:cs="Calibri Light"/>
              </w:rPr>
              <w:t>Novembro</w:t>
            </w:r>
            <w:r w:rsidR="004C76B3">
              <w:rPr>
                <w:rFonts w:ascii="Bookman Old Style" w:hAnsi="Bookman Old Style" w:cs="Calibri Light"/>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Default="00AE0E7D" w:rsidP="00AE0E7D">
            <w:pPr>
              <w:jc w:val="center"/>
              <w:rPr>
                <w:rFonts w:ascii="Bookman Old Style" w:hAnsi="Bookman Old Style" w:cs="Calibri Light"/>
              </w:rPr>
            </w:pPr>
          </w:p>
          <w:p w14:paraId="0B2D3508" w14:textId="77777777" w:rsidR="001F61F6" w:rsidRDefault="001F61F6" w:rsidP="00AE0E7D">
            <w:pPr>
              <w:jc w:val="center"/>
              <w:rPr>
                <w:rFonts w:ascii="Bookman Old Style" w:hAnsi="Bookman Old Style" w:cs="Calibri Light"/>
              </w:rPr>
            </w:pPr>
          </w:p>
          <w:p w14:paraId="60582BBA" w14:textId="77777777" w:rsidR="001F61F6" w:rsidRPr="00472C29" w:rsidRDefault="001F61F6"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5978E33C" w14:textId="77777777" w:rsidR="00AE0E7D" w:rsidRDefault="00AE0E7D" w:rsidP="007B74DB">
            <w:pPr>
              <w:jc w:val="center"/>
              <w:rPr>
                <w:rFonts w:ascii="Bookman Old Style" w:hAnsi="Bookman Old Style" w:cs="Calibri Light"/>
                <w:b/>
              </w:rPr>
            </w:pPr>
          </w:p>
          <w:p w14:paraId="020534A0" w14:textId="4C7E05B4" w:rsidR="00D37FEA" w:rsidRPr="00D37FEA" w:rsidRDefault="00D37FEA" w:rsidP="003D4793">
            <w:pPr>
              <w:rPr>
                <w:rFonts w:ascii="Bookman Old Style" w:hAnsi="Bookman Old Style" w:cs="Calibri Light"/>
              </w:rPr>
            </w:pPr>
            <w:r w:rsidRPr="00D37FEA">
              <w:rPr>
                <w:rFonts w:ascii="Bookman Old Style" w:hAnsi="Bookman Old Style" w:cs="Calibri Light"/>
              </w:rPr>
              <w:t xml:space="preserve">Chave TCE: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02DAB"/>
    <w:rsid w:val="0001098B"/>
    <w:rsid w:val="000466AD"/>
    <w:rsid w:val="0008701D"/>
    <w:rsid w:val="00093DC0"/>
    <w:rsid w:val="000C6777"/>
    <w:rsid w:val="00101DB8"/>
    <w:rsid w:val="001354C6"/>
    <w:rsid w:val="00160FA8"/>
    <w:rsid w:val="00167A80"/>
    <w:rsid w:val="001A5FFC"/>
    <w:rsid w:val="001B4E90"/>
    <w:rsid w:val="001D2EFF"/>
    <w:rsid w:val="001F61F6"/>
    <w:rsid w:val="00200FA9"/>
    <w:rsid w:val="00250C20"/>
    <w:rsid w:val="00273F05"/>
    <w:rsid w:val="00295DF3"/>
    <w:rsid w:val="002C390D"/>
    <w:rsid w:val="002F4477"/>
    <w:rsid w:val="00312C43"/>
    <w:rsid w:val="00317BCA"/>
    <w:rsid w:val="003C1053"/>
    <w:rsid w:val="003D4793"/>
    <w:rsid w:val="00402A5E"/>
    <w:rsid w:val="0042701D"/>
    <w:rsid w:val="00432379"/>
    <w:rsid w:val="00450DDC"/>
    <w:rsid w:val="00472C29"/>
    <w:rsid w:val="00472D1C"/>
    <w:rsid w:val="00484DAC"/>
    <w:rsid w:val="004A3D15"/>
    <w:rsid w:val="004C76B3"/>
    <w:rsid w:val="004E4BE2"/>
    <w:rsid w:val="004E7DFB"/>
    <w:rsid w:val="004F5620"/>
    <w:rsid w:val="005A5D33"/>
    <w:rsid w:val="005D3BF8"/>
    <w:rsid w:val="005D47D0"/>
    <w:rsid w:val="005E27FA"/>
    <w:rsid w:val="005E2F6A"/>
    <w:rsid w:val="00617571"/>
    <w:rsid w:val="00665D36"/>
    <w:rsid w:val="00676883"/>
    <w:rsid w:val="006822DB"/>
    <w:rsid w:val="006C547C"/>
    <w:rsid w:val="006C6FF2"/>
    <w:rsid w:val="006F7A37"/>
    <w:rsid w:val="00706FE3"/>
    <w:rsid w:val="00735812"/>
    <w:rsid w:val="00752000"/>
    <w:rsid w:val="00775F29"/>
    <w:rsid w:val="007B74DB"/>
    <w:rsid w:val="007D2BD0"/>
    <w:rsid w:val="007D2C7E"/>
    <w:rsid w:val="007D76BA"/>
    <w:rsid w:val="00812EEA"/>
    <w:rsid w:val="00835EFC"/>
    <w:rsid w:val="0087359D"/>
    <w:rsid w:val="008A587F"/>
    <w:rsid w:val="008B28BB"/>
    <w:rsid w:val="008B3A94"/>
    <w:rsid w:val="008B563D"/>
    <w:rsid w:val="008C09F5"/>
    <w:rsid w:val="008C5BB4"/>
    <w:rsid w:val="008C79E9"/>
    <w:rsid w:val="0090457B"/>
    <w:rsid w:val="009749E5"/>
    <w:rsid w:val="009B741C"/>
    <w:rsid w:val="009C7862"/>
    <w:rsid w:val="009F7C2E"/>
    <w:rsid w:val="00A1153F"/>
    <w:rsid w:val="00A15981"/>
    <w:rsid w:val="00A175E3"/>
    <w:rsid w:val="00A4213E"/>
    <w:rsid w:val="00A6245B"/>
    <w:rsid w:val="00A820BE"/>
    <w:rsid w:val="00A84ADD"/>
    <w:rsid w:val="00AA3723"/>
    <w:rsid w:val="00AB6981"/>
    <w:rsid w:val="00AC7DE8"/>
    <w:rsid w:val="00AE0E7D"/>
    <w:rsid w:val="00B12689"/>
    <w:rsid w:val="00B279FB"/>
    <w:rsid w:val="00B544E8"/>
    <w:rsid w:val="00B943E3"/>
    <w:rsid w:val="00B97507"/>
    <w:rsid w:val="00B9760E"/>
    <w:rsid w:val="00BA4664"/>
    <w:rsid w:val="00BB2EF0"/>
    <w:rsid w:val="00BD48C1"/>
    <w:rsid w:val="00BE332D"/>
    <w:rsid w:val="00BF6A77"/>
    <w:rsid w:val="00C24803"/>
    <w:rsid w:val="00C27FB2"/>
    <w:rsid w:val="00C61D18"/>
    <w:rsid w:val="00C73802"/>
    <w:rsid w:val="00C97F5A"/>
    <w:rsid w:val="00CB22E8"/>
    <w:rsid w:val="00CF1F66"/>
    <w:rsid w:val="00D10F59"/>
    <w:rsid w:val="00D12DC6"/>
    <w:rsid w:val="00D37FEA"/>
    <w:rsid w:val="00D75A0D"/>
    <w:rsid w:val="00D76C6A"/>
    <w:rsid w:val="00DB5743"/>
    <w:rsid w:val="00DB7705"/>
    <w:rsid w:val="00E076D6"/>
    <w:rsid w:val="00E11B38"/>
    <w:rsid w:val="00EA2D2B"/>
    <w:rsid w:val="00EC42B4"/>
    <w:rsid w:val="00EE7F6E"/>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161</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55</cp:revision>
  <cp:lastPrinted>2024-09-23T12:02:00Z</cp:lastPrinted>
  <dcterms:created xsi:type="dcterms:W3CDTF">2024-02-01T13:59:00Z</dcterms:created>
  <dcterms:modified xsi:type="dcterms:W3CDTF">2024-11-25T13:31:00Z</dcterms:modified>
</cp:coreProperties>
</file>